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49CF" w14:textId="5CCEBF21" w:rsidR="000574A9" w:rsidRPr="00D32FC8" w:rsidRDefault="00222D5B">
      <w:pPr>
        <w:jc w:val="center"/>
        <w:rPr>
          <w:lang w:val="pt-PT"/>
        </w:rPr>
      </w:pPr>
      <w:r w:rsidRPr="00222D5B">
        <w:rPr>
          <w:rFonts w:ascii="Cambria" w:eastAsia="Cambria" w:hAnsi="Cambria" w:cs="Cambria"/>
          <w:b/>
          <w:bCs/>
          <w:sz w:val="44"/>
          <w:szCs w:val="44"/>
          <w:highlight w:val="yellow"/>
          <w:lang w:val="pt-PT"/>
        </w:rPr>
        <w:t>xxxx</w:t>
      </w:r>
    </w:p>
    <w:p w14:paraId="7D365E57" w14:textId="77777777" w:rsidR="000574A9" w:rsidRPr="00D32FC8" w:rsidRDefault="00D32FC8">
      <w:pPr>
        <w:rPr>
          <w:lang w:val="pt-PT"/>
        </w:rPr>
      </w:pPr>
      <w:r w:rsidRPr="00D32FC8">
        <w:rPr>
          <w:rFonts w:ascii="Cambria" w:eastAsia="Cambria" w:hAnsi="Cambria" w:cs="Cambria"/>
          <w:lang w:val="pt-PT"/>
        </w:rPr>
        <w:t> </w:t>
      </w:r>
    </w:p>
    <w:p w14:paraId="29CE2F23" w14:textId="77777777" w:rsidR="000574A9" w:rsidRPr="007378EA" w:rsidRDefault="00D32FC8">
      <w:pPr>
        <w:rPr>
          <w:rFonts w:asciiTheme="minorHAnsi" w:hAnsiTheme="minorHAnsi"/>
          <w:sz w:val="22"/>
          <w:szCs w:val="22"/>
          <w:lang w:val="pt-PT"/>
        </w:rPr>
      </w:pPr>
      <w:r w:rsidRPr="007378EA">
        <w:rPr>
          <w:rFonts w:asciiTheme="minorHAnsi" w:eastAsia="Cambria" w:hAnsiTheme="minorHAnsi" w:cs="Cambria"/>
          <w:sz w:val="22"/>
          <w:szCs w:val="22"/>
          <w:lang w:val="pt-PT"/>
        </w:rPr>
        <w:t xml:space="preserve">A próxima conferência de </w:t>
      </w:r>
      <w:r w:rsidR="00894B3A" w:rsidRPr="007378EA">
        <w:rPr>
          <w:rFonts w:asciiTheme="minorHAnsi" w:eastAsia="Cambria" w:hAnsiTheme="minorHAnsi" w:cs="Cambria"/>
          <w:sz w:val="22"/>
          <w:szCs w:val="22"/>
          <w:lang w:val="pt-PT"/>
        </w:rPr>
        <w:t>r</w:t>
      </w:r>
      <w:r w:rsidRPr="007378EA">
        <w:rPr>
          <w:rFonts w:asciiTheme="minorHAnsi" w:eastAsia="Cambria" w:hAnsiTheme="minorHAnsi" w:cs="Cambria"/>
          <w:sz w:val="22"/>
          <w:szCs w:val="22"/>
          <w:lang w:val="pt-PT"/>
        </w:rPr>
        <w:t>eaprovisionamento da Parceria Global para a Educação (PGE) é uma oportunidade-chave para governos e doadores fazerem promessas</w:t>
      </w:r>
      <w:r w:rsidRPr="007378EA">
        <w:rPr>
          <w:rFonts w:asciiTheme="minorHAnsi" w:hAnsiTheme="minorHAnsi"/>
          <w:sz w:val="22"/>
          <w:szCs w:val="22"/>
          <w:lang w:val="pt-PT"/>
        </w:rPr>
        <w:t xml:space="preserve"> </w:t>
      </w:r>
      <w:r w:rsidRPr="007378EA">
        <w:rPr>
          <w:rFonts w:asciiTheme="minorHAnsi" w:eastAsia="Cambria" w:hAnsiTheme="minorHAnsi" w:cs="Cambria"/>
          <w:sz w:val="22"/>
          <w:szCs w:val="22"/>
          <w:lang w:val="pt-PT"/>
        </w:rPr>
        <w:t>para aumentar o seu financiamento da educação. Os Parceiros dos País</w:t>
      </w:r>
      <w:r w:rsidR="00894B3A" w:rsidRPr="007378EA">
        <w:rPr>
          <w:rFonts w:asciiTheme="minorHAnsi" w:eastAsia="Cambria" w:hAnsiTheme="minorHAnsi" w:cs="Cambria"/>
          <w:sz w:val="22"/>
          <w:szCs w:val="22"/>
          <w:lang w:val="pt-PT"/>
        </w:rPr>
        <w:t>es</w:t>
      </w:r>
      <w:r w:rsidRPr="007378EA">
        <w:rPr>
          <w:rFonts w:asciiTheme="minorHAnsi" w:eastAsia="Cambria" w:hAnsiTheme="minorHAnsi" w:cs="Cambria"/>
          <w:sz w:val="22"/>
          <w:szCs w:val="22"/>
          <w:lang w:val="pt-PT"/>
        </w:rPr>
        <w:t xml:space="preserve"> em Desenvolvimento (DCP) devem</w:t>
      </w:r>
      <w:r w:rsidRPr="007378EA">
        <w:rPr>
          <w:rFonts w:asciiTheme="minorHAnsi" w:hAnsiTheme="minorHAnsi"/>
          <w:sz w:val="22"/>
          <w:szCs w:val="22"/>
          <w:lang w:val="pt-PT"/>
        </w:rPr>
        <w:t xml:space="preserve"> </w:t>
      </w:r>
      <w:r w:rsidRPr="007378EA">
        <w:rPr>
          <w:rFonts w:asciiTheme="minorHAnsi" w:eastAsia="Cambria" w:hAnsiTheme="minorHAnsi" w:cs="Cambria"/>
          <w:sz w:val="22"/>
          <w:szCs w:val="22"/>
          <w:lang w:val="pt-PT"/>
        </w:rPr>
        <w:t>comprometer-se no sentido de aumentar a parcela dos orçamentos nacionais e do PIB dedicados à educação.</w:t>
      </w:r>
    </w:p>
    <w:p w14:paraId="65F30B2F" w14:textId="77777777" w:rsidR="000574A9" w:rsidRPr="007378EA" w:rsidRDefault="00D32FC8">
      <w:pPr>
        <w:rPr>
          <w:rFonts w:asciiTheme="minorHAnsi" w:hAnsiTheme="minorHAnsi"/>
          <w:sz w:val="22"/>
          <w:szCs w:val="22"/>
          <w:lang w:val="pt-PT"/>
        </w:rPr>
      </w:pPr>
      <w:r w:rsidRPr="007378EA">
        <w:rPr>
          <w:rFonts w:asciiTheme="minorHAnsi" w:eastAsia="Cambria" w:hAnsiTheme="minorHAnsi" w:cs="Cambria"/>
          <w:sz w:val="22"/>
          <w:szCs w:val="22"/>
          <w:lang w:val="pt-PT"/>
        </w:rPr>
        <w:t> </w:t>
      </w:r>
    </w:p>
    <w:p w14:paraId="3800F021" w14:textId="77777777" w:rsidR="000574A9" w:rsidRPr="007378EA" w:rsidRDefault="00894B3A">
      <w:pPr>
        <w:rPr>
          <w:rFonts w:asciiTheme="minorHAnsi" w:hAnsiTheme="minorHAnsi"/>
          <w:sz w:val="22"/>
          <w:szCs w:val="22"/>
          <w:lang w:val="pt-PT"/>
        </w:rPr>
      </w:pPr>
      <w:r w:rsidRPr="007378EA">
        <w:rPr>
          <w:rFonts w:asciiTheme="minorHAnsi" w:eastAsia="Cambria" w:hAnsiTheme="minorHAnsi" w:cs="Cambria"/>
          <w:sz w:val="22"/>
          <w:szCs w:val="22"/>
          <w:lang w:val="pt-PT"/>
        </w:rPr>
        <w:t>Durante a conferência de r</w:t>
      </w:r>
      <w:r w:rsidR="00D32FC8" w:rsidRPr="007378EA">
        <w:rPr>
          <w:rFonts w:asciiTheme="minorHAnsi" w:eastAsia="Cambria" w:hAnsiTheme="minorHAnsi" w:cs="Cambria"/>
          <w:sz w:val="22"/>
          <w:szCs w:val="22"/>
          <w:lang w:val="pt-PT"/>
        </w:rPr>
        <w:t>eaprovisionamento de 2014, os DCP demonstraram ambição e uma clara liderança. Cerca de</w:t>
      </w:r>
      <w:r w:rsidR="00D32FC8" w:rsidRPr="007378EA">
        <w:rPr>
          <w:rFonts w:asciiTheme="minorHAnsi" w:hAnsiTheme="minorHAnsi"/>
          <w:sz w:val="22"/>
          <w:szCs w:val="22"/>
          <w:lang w:val="pt-PT"/>
        </w:rPr>
        <w:t xml:space="preserve"> </w:t>
      </w:r>
      <w:r w:rsidR="00D32FC8" w:rsidRPr="007378EA">
        <w:rPr>
          <w:rFonts w:asciiTheme="minorHAnsi" w:eastAsia="Cambria" w:hAnsiTheme="minorHAnsi" w:cs="Cambria"/>
          <w:sz w:val="22"/>
          <w:szCs w:val="22"/>
          <w:lang w:val="pt-PT"/>
        </w:rPr>
        <w:t>33 países comprometeram-se com $ 26 mil milhões de USD, ultrapassando em muito todas as expectativas, e prometendo dez vezes mais do que os doadores. No entanto,</w:t>
      </w:r>
      <w:r w:rsidR="00D32FC8" w:rsidRPr="007378EA">
        <w:rPr>
          <w:rFonts w:asciiTheme="minorHAnsi" w:hAnsiTheme="minorHAnsi"/>
          <w:sz w:val="22"/>
          <w:szCs w:val="22"/>
          <w:lang w:val="pt-PT"/>
        </w:rPr>
        <w:t xml:space="preserve"> </w:t>
      </w:r>
      <w:r w:rsidRPr="007378EA">
        <w:rPr>
          <w:rFonts w:asciiTheme="minorHAnsi" w:eastAsia="Cambria" w:hAnsiTheme="minorHAnsi" w:cs="Cambria"/>
          <w:sz w:val="22"/>
          <w:szCs w:val="22"/>
          <w:lang w:val="pt-PT"/>
        </w:rPr>
        <w:t xml:space="preserve">a mais recente análise da Campanha Global pela Educação </w:t>
      </w:r>
      <w:r w:rsidR="00D32FC8" w:rsidRPr="007378EA">
        <w:rPr>
          <w:rFonts w:asciiTheme="minorHAnsi" w:eastAsia="Cambria" w:hAnsiTheme="minorHAnsi" w:cs="Cambria"/>
          <w:sz w:val="22"/>
          <w:szCs w:val="22"/>
          <w:lang w:val="pt-PT"/>
        </w:rPr>
        <w:t xml:space="preserve">sugere que muitos países continuam sem cumprir as promessas de despesa feitas em 2014, e que o progresso não é claro em muitos países devido à falta de um processo </w:t>
      </w:r>
      <w:r w:rsidR="00A8277E" w:rsidRPr="007378EA">
        <w:rPr>
          <w:rFonts w:asciiTheme="minorHAnsi" w:eastAsia="Cambria" w:hAnsiTheme="minorHAnsi" w:cs="Cambria"/>
          <w:sz w:val="22"/>
          <w:szCs w:val="22"/>
          <w:lang w:val="pt-PT"/>
        </w:rPr>
        <w:t xml:space="preserve">de base das promessas </w:t>
      </w:r>
      <w:r w:rsidR="00D32FC8" w:rsidRPr="007378EA">
        <w:rPr>
          <w:rFonts w:asciiTheme="minorHAnsi" w:eastAsia="Cambria" w:hAnsiTheme="minorHAnsi" w:cs="Cambria"/>
          <w:sz w:val="22"/>
          <w:szCs w:val="22"/>
          <w:lang w:val="pt-PT"/>
        </w:rPr>
        <w:t>'credível'.</w:t>
      </w:r>
    </w:p>
    <w:p w14:paraId="1708E49A" w14:textId="77777777" w:rsidR="000574A9" w:rsidRPr="007378EA" w:rsidRDefault="00D32FC8">
      <w:pPr>
        <w:rPr>
          <w:rFonts w:asciiTheme="minorHAnsi" w:hAnsiTheme="minorHAnsi"/>
          <w:sz w:val="22"/>
          <w:szCs w:val="22"/>
          <w:lang w:val="pt-PT"/>
        </w:rPr>
      </w:pPr>
      <w:r w:rsidRPr="007378EA">
        <w:rPr>
          <w:rFonts w:asciiTheme="minorHAnsi" w:eastAsia="Cambria" w:hAnsiTheme="minorHAnsi" w:cs="Cambria"/>
          <w:sz w:val="22"/>
          <w:szCs w:val="22"/>
          <w:lang w:val="pt-PT"/>
        </w:rPr>
        <w:t> </w:t>
      </w:r>
    </w:p>
    <w:p w14:paraId="4B36ADC7" w14:textId="77777777" w:rsidR="000574A9" w:rsidRPr="007378EA" w:rsidRDefault="00D32FC8">
      <w:pPr>
        <w:rPr>
          <w:rFonts w:asciiTheme="minorHAnsi" w:hAnsiTheme="minorHAnsi"/>
          <w:sz w:val="22"/>
          <w:szCs w:val="22"/>
          <w:lang w:val="pt-PT"/>
        </w:rPr>
      </w:pPr>
      <w:r w:rsidRPr="007378EA">
        <w:rPr>
          <w:rFonts w:asciiTheme="minorHAnsi" w:eastAsia="Cambria" w:hAnsiTheme="minorHAnsi" w:cs="Cambria"/>
          <w:sz w:val="22"/>
          <w:szCs w:val="22"/>
          <w:lang w:val="pt-PT"/>
        </w:rPr>
        <w:t xml:space="preserve">Os DCP devem fazer promessas de despesa profundas mas também realistas, credíveis e monitorizáveis; devem ser compromissos que os governos tenham a intenção plena de cumprir e pelos </w:t>
      </w:r>
      <w:r w:rsidR="00A8277E" w:rsidRPr="007378EA">
        <w:rPr>
          <w:rFonts w:asciiTheme="minorHAnsi" w:eastAsia="Cambria" w:hAnsiTheme="minorHAnsi" w:cs="Cambria"/>
          <w:sz w:val="22"/>
          <w:szCs w:val="22"/>
          <w:lang w:val="pt-PT"/>
        </w:rPr>
        <w:t xml:space="preserve">quais </w:t>
      </w:r>
      <w:r w:rsidRPr="007378EA">
        <w:rPr>
          <w:rFonts w:asciiTheme="minorHAnsi" w:eastAsia="Cambria" w:hAnsiTheme="minorHAnsi" w:cs="Cambria"/>
          <w:sz w:val="22"/>
          <w:szCs w:val="22"/>
          <w:lang w:val="pt-PT"/>
        </w:rPr>
        <w:t>possam ser responsabilizados. As promessas devem ser:</w:t>
      </w:r>
    </w:p>
    <w:p w14:paraId="0BB5903A" w14:textId="77777777" w:rsidR="000574A9" w:rsidRPr="007378EA" w:rsidRDefault="00D32FC8">
      <w:pPr>
        <w:rPr>
          <w:rFonts w:asciiTheme="minorHAnsi" w:hAnsiTheme="minorHAnsi"/>
          <w:sz w:val="22"/>
          <w:szCs w:val="22"/>
          <w:lang w:val="pt-PT"/>
        </w:rPr>
      </w:pPr>
      <w:r w:rsidRPr="007378EA">
        <w:rPr>
          <w:rFonts w:asciiTheme="minorHAnsi" w:eastAsia="Cambria" w:hAnsiTheme="minorHAnsi" w:cs="Cambria"/>
          <w:sz w:val="22"/>
          <w:szCs w:val="22"/>
          <w:lang w:val="pt-PT"/>
        </w:rPr>
        <w:t> </w:t>
      </w:r>
    </w:p>
    <w:p w14:paraId="4F6AA7E2" w14:textId="77777777" w:rsidR="000574A9" w:rsidRPr="007378EA" w:rsidRDefault="00D32FC8" w:rsidP="00894B3A">
      <w:pPr>
        <w:pStyle w:val="ListParagraph"/>
        <w:numPr>
          <w:ilvl w:val="0"/>
          <w:numId w:val="4"/>
        </w:numPr>
        <w:pBdr>
          <w:left w:val="nil"/>
        </w:pBdr>
        <w:rPr>
          <w:sz w:val="22"/>
          <w:szCs w:val="22"/>
          <w:lang w:val="pt-PT"/>
        </w:rPr>
      </w:pPr>
      <w:r w:rsidRPr="007378EA">
        <w:rPr>
          <w:b/>
          <w:sz w:val="22"/>
          <w:szCs w:val="22"/>
          <w:lang w:val="pt-PT"/>
        </w:rPr>
        <w:t>Ambiciosas.</w:t>
      </w:r>
      <w:r w:rsidRPr="007378EA">
        <w:rPr>
          <w:sz w:val="22"/>
          <w:szCs w:val="22"/>
          <w:lang w:val="pt-PT"/>
        </w:rPr>
        <w:t xml:space="preserve"> Os países devem indicar promessas de financiamento no sentido de aumentar, relativamente aos orçamentos nacionais e ao PIB, a proporção dos montantes atribuídos às despesas com a educação.</w:t>
      </w:r>
    </w:p>
    <w:p w14:paraId="49B76663" w14:textId="77777777" w:rsidR="00894B3A" w:rsidRPr="007378EA" w:rsidRDefault="00A8277E" w:rsidP="00894B3A">
      <w:pPr>
        <w:pStyle w:val="ListParagraph"/>
        <w:numPr>
          <w:ilvl w:val="0"/>
          <w:numId w:val="4"/>
        </w:numPr>
        <w:pBdr>
          <w:left w:val="nil"/>
        </w:pBdr>
        <w:rPr>
          <w:sz w:val="22"/>
          <w:szCs w:val="22"/>
          <w:lang w:val="pt-PT"/>
        </w:rPr>
      </w:pPr>
      <w:r w:rsidRPr="007378EA">
        <w:rPr>
          <w:rFonts w:eastAsia="Cambria" w:cs="Cambria"/>
          <w:b/>
          <w:bCs/>
          <w:sz w:val="22"/>
          <w:szCs w:val="22"/>
          <w:lang w:val="pt-PT"/>
        </w:rPr>
        <w:t>Claras.</w:t>
      </w:r>
      <w:r w:rsidR="00D32FC8" w:rsidRPr="007378EA">
        <w:rPr>
          <w:rFonts w:eastAsia="Cambria" w:cs="Cambria"/>
          <w:bCs/>
          <w:sz w:val="22"/>
          <w:szCs w:val="22"/>
          <w:lang w:val="pt-PT"/>
        </w:rPr>
        <w:t xml:space="preserve"> Os valores devem ser referenciados com clareza pelos governos e devem ser coerentes com os documentos de planeamento nacionais. </w:t>
      </w:r>
    </w:p>
    <w:p w14:paraId="1BDFC347" w14:textId="77777777" w:rsidR="000574A9" w:rsidRPr="007378EA" w:rsidRDefault="00D32FC8" w:rsidP="00894B3A">
      <w:pPr>
        <w:pStyle w:val="ListParagraph"/>
        <w:numPr>
          <w:ilvl w:val="0"/>
          <w:numId w:val="4"/>
        </w:numPr>
        <w:pBdr>
          <w:left w:val="nil"/>
        </w:pBdr>
        <w:rPr>
          <w:sz w:val="22"/>
          <w:szCs w:val="22"/>
          <w:lang w:val="pt-PT"/>
        </w:rPr>
      </w:pPr>
      <w:r w:rsidRPr="007378EA">
        <w:rPr>
          <w:rFonts w:eastAsia="Cambria" w:cs="Cambria"/>
          <w:b/>
          <w:bCs/>
          <w:sz w:val="22"/>
          <w:szCs w:val="22"/>
          <w:lang w:val="pt-PT"/>
        </w:rPr>
        <w:t>Oficiais.</w:t>
      </w:r>
      <w:r w:rsidRPr="007378EA">
        <w:rPr>
          <w:rFonts w:eastAsia="Cambria" w:cs="Cambria"/>
          <w:bCs/>
          <w:sz w:val="22"/>
          <w:szCs w:val="22"/>
          <w:lang w:val="pt-PT"/>
        </w:rPr>
        <w:t xml:space="preserve"> Os valores referidos como promessa pelos governos devem ser formais, e os documentos devem ser assinados pelo governo como parte de um processo de planeamento acordado. </w:t>
      </w:r>
    </w:p>
    <w:p w14:paraId="72533010" w14:textId="77777777" w:rsidR="000574A9" w:rsidRPr="007378EA" w:rsidRDefault="00D32FC8" w:rsidP="00894B3A">
      <w:pPr>
        <w:pStyle w:val="ListParagraph"/>
        <w:numPr>
          <w:ilvl w:val="0"/>
          <w:numId w:val="4"/>
        </w:numPr>
        <w:pBdr>
          <w:left w:val="nil"/>
        </w:pBdr>
        <w:rPr>
          <w:sz w:val="22"/>
          <w:szCs w:val="22"/>
          <w:lang w:val="pt-PT"/>
        </w:rPr>
      </w:pPr>
      <w:r w:rsidRPr="007378EA">
        <w:rPr>
          <w:rFonts w:eastAsia="Cambria" w:cs="Cambria"/>
          <w:b/>
          <w:bCs/>
          <w:sz w:val="22"/>
          <w:szCs w:val="22"/>
          <w:lang w:val="pt-PT"/>
        </w:rPr>
        <w:t>Abertas ao escrutínio.</w:t>
      </w:r>
      <w:r w:rsidRPr="007378EA">
        <w:rPr>
          <w:rFonts w:eastAsia="Cambria" w:cs="Cambria"/>
          <w:bCs/>
          <w:sz w:val="22"/>
          <w:szCs w:val="22"/>
          <w:lang w:val="pt-PT"/>
        </w:rPr>
        <w:t xml:space="preserve"> As promessas devem promover o escrutínio parlamentar e público relativamente aos progressos em gastos com educação e devem promover a prestação de contas.</w:t>
      </w:r>
    </w:p>
    <w:p w14:paraId="7C67DBA2" w14:textId="77777777" w:rsidR="000574A9" w:rsidRPr="007378EA" w:rsidRDefault="00D32FC8" w:rsidP="00894B3A">
      <w:pPr>
        <w:pStyle w:val="ListParagraph"/>
        <w:numPr>
          <w:ilvl w:val="0"/>
          <w:numId w:val="4"/>
        </w:numPr>
        <w:pBdr>
          <w:left w:val="nil"/>
        </w:pBdr>
        <w:rPr>
          <w:sz w:val="22"/>
          <w:szCs w:val="22"/>
          <w:lang w:val="pt-PT"/>
        </w:rPr>
      </w:pPr>
      <w:r w:rsidRPr="007378EA">
        <w:rPr>
          <w:rFonts w:eastAsia="Cambria" w:cs="Cambria"/>
          <w:b/>
          <w:bCs/>
          <w:sz w:val="22"/>
          <w:szCs w:val="22"/>
          <w:lang w:val="pt-PT"/>
        </w:rPr>
        <w:t>Financiáveis.</w:t>
      </w:r>
      <w:r w:rsidRPr="007378EA">
        <w:rPr>
          <w:rFonts w:eastAsia="Cambria" w:cs="Cambria"/>
          <w:bCs/>
          <w:sz w:val="22"/>
          <w:szCs w:val="22"/>
          <w:lang w:val="pt-PT"/>
        </w:rPr>
        <w:t xml:space="preserve"> Os governos devem referir de onde poderão surgir recursos adicionais, principalmente do aumento de receitas fiscais.</w:t>
      </w:r>
    </w:p>
    <w:p w14:paraId="3761BF94" w14:textId="77777777" w:rsidR="000574A9" w:rsidRPr="007378EA" w:rsidRDefault="00D32FC8">
      <w:pPr>
        <w:ind w:left="720"/>
        <w:rPr>
          <w:rFonts w:asciiTheme="minorHAnsi" w:hAnsiTheme="minorHAnsi"/>
          <w:sz w:val="22"/>
          <w:szCs w:val="22"/>
          <w:lang w:val="pt-PT"/>
        </w:rPr>
      </w:pPr>
      <w:r w:rsidRPr="007378EA">
        <w:rPr>
          <w:rFonts w:asciiTheme="minorHAnsi" w:eastAsia="Cambria" w:hAnsiTheme="minorHAnsi" w:cs="Cambria"/>
          <w:sz w:val="22"/>
          <w:szCs w:val="22"/>
          <w:lang w:val="pt-PT"/>
        </w:rPr>
        <w:t> </w:t>
      </w:r>
    </w:p>
    <w:p w14:paraId="3BFF4FA2" w14:textId="77777777" w:rsidR="000574A9" w:rsidRPr="007378EA" w:rsidRDefault="00D32FC8">
      <w:pPr>
        <w:rPr>
          <w:rFonts w:asciiTheme="minorHAnsi" w:hAnsiTheme="minorHAnsi"/>
          <w:sz w:val="22"/>
          <w:szCs w:val="22"/>
          <w:lang w:val="pt-PT"/>
        </w:rPr>
      </w:pPr>
      <w:r w:rsidRPr="007378EA">
        <w:rPr>
          <w:rFonts w:asciiTheme="minorHAnsi" w:eastAsia="Arial" w:hAnsiTheme="minorHAnsi" w:cs="Arial"/>
          <w:sz w:val="22"/>
          <w:szCs w:val="22"/>
          <w:lang w:val="pt-PT"/>
        </w:rPr>
        <w:t> </w:t>
      </w:r>
    </w:p>
    <w:tbl>
      <w:tblPr>
        <w:tblW w:w="0" w:type="auto"/>
        <w:tblInd w:w="123" w:type="dxa"/>
        <w:tblCellMar>
          <w:left w:w="0" w:type="dxa"/>
          <w:right w:w="0" w:type="dxa"/>
        </w:tblCellMar>
        <w:tblLook w:val="0000" w:firstRow="0" w:lastRow="0" w:firstColumn="0" w:lastColumn="0" w:noHBand="0" w:noVBand="0"/>
      </w:tblPr>
      <w:tblGrid>
        <w:gridCol w:w="8494"/>
      </w:tblGrid>
      <w:tr w:rsidR="000574A9" w:rsidRPr="001C29D5" w14:paraId="617465E3" w14:textId="77777777">
        <w:tc>
          <w:tcPr>
            <w:tcW w:w="8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B3C6F0" w14:textId="77777777" w:rsidR="000574A9" w:rsidRPr="007378EA" w:rsidRDefault="00D32FC8">
            <w:pPr>
              <w:jc w:val="center"/>
              <w:rPr>
                <w:rFonts w:asciiTheme="minorHAnsi" w:hAnsiTheme="minorHAnsi"/>
                <w:sz w:val="22"/>
                <w:szCs w:val="22"/>
                <w:lang w:val="pt-PT"/>
              </w:rPr>
            </w:pPr>
            <w:r w:rsidRPr="007378EA">
              <w:rPr>
                <w:rFonts w:asciiTheme="minorHAnsi" w:eastAsia="Cambria" w:hAnsiTheme="minorHAnsi" w:cs="Cambria"/>
                <w:b/>
                <w:bCs/>
                <w:sz w:val="22"/>
                <w:szCs w:val="22"/>
                <w:lang w:val="pt-PT"/>
              </w:rPr>
              <w:t> </w:t>
            </w:r>
          </w:p>
          <w:p w14:paraId="0BE39FA3" w14:textId="3C21FCA1" w:rsidR="000574A9" w:rsidRDefault="001C29D5">
            <w:pPr>
              <w:rPr>
                <w:rFonts w:asciiTheme="minorHAnsi" w:eastAsia="Cambria" w:hAnsiTheme="minorHAnsi" w:cs="Cambria"/>
                <w:sz w:val="22"/>
                <w:szCs w:val="22"/>
                <w:lang w:val="pt-PT"/>
              </w:rPr>
            </w:pPr>
            <w:r w:rsidRPr="001C29D5">
              <w:rPr>
                <w:rFonts w:asciiTheme="minorHAnsi" w:eastAsia="Cambria" w:hAnsiTheme="minorHAnsi" w:cs="Cambria"/>
                <w:b/>
                <w:bCs/>
                <w:sz w:val="22"/>
                <w:szCs w:val="22"/>
                <w:lang w:val="pt-PT"/>
              </w:rPr>
              <w:t>A Campanha Global para a Educação e seus membros</w:t>
            </w:r>
            <w:r w:rsidRPr="001C29D5">
              <w:rPr>
                <w:rFonts w:asciiTheme="minorHAnsi" w:eastAsia="Cambria" w:hAnsiTheme="minorHAnsi" w:cs="Cambria"/>
                <w:sz w:val="22"/>
                <w:szCs w:val="22"/>
                <w:lang w:val="pt-PT"/>
              </w:rPr>
              <w:t xml:space="preserve"> apelam </w:t>
            </w:r>
            <w:r w:rsidR="00D32FC8" w:rsidRPr="007378EA">
              <w:rPr>
                <w:rFonts w:asciiTheme="minorHAnsi" w:eastAsia="Cambria" w:hAnsiTheme="minorHAnsi" w:cs="Cambria"/>
                <w:sz w:val="22"/>
                <w:szCs w:val="22"/>
                <w:lang w:val="pt-PT"/>
              </w:rPr>
              <w:t xml:space="preserve">aos governos e à comunidade internacional para que garantam uma educação gratuita, inclusiva e de qualidade: </w:t>
            </w:r>
          </w:p>
          <w:p w14:paraId="7EE57B4F" w14:textId="77777777" w:rsidR="001C29D5" w:rsidRPr="007378EA" w:rsidRDefault="001C29D5">
            <w:pPr>
              <w:rPr>
                <w:rFonts w:asciiTheme="minorHAnsi" w:hAnsiTheme="minorHAnsi"/>
                <w:sz w:val="22"/>
                <w:szCs w:val="22"/>
                <w:lang w:val="pt-PT"/>
              </w:rPr>
            </w:pPr>
          </w:p>
          <w:p w14:paraId="366FD768" w14:textId="77777777" w:rsidR="000574A9" w:rsidRPr="007378EA" w:rsidRDefault="00D32FC8">
            <w:pPr>
              <w:numPr>
                <w:ilvl w:val="0"/>
                <w:numId w:val="2"/>
              </w:numPr>
              <w:pBdr>
                <w:left w:val="nil"/>
              </w:pBdr>
              <w:ind w:left="360" w:firstLine="0"/>
              <w:rPr>
                <w:rFonts w:asciiTheme="minorHAnsi" w:hAnsiTheme="minorHAnsi"/>
                <w:sz w:val="22"/>
                <w:szCs w:val="22"/>
                <w:lang w:val="pt-PT"/>
              </w:rPr>
            </w:pPr>
            <w:r w:rsidRPr="007378EA">
              <w:rPr>
                <w:rFonts w:asciiTheme="minorHAnsi" w:eastAsia="Cambria" w:hAnsiTheme="minorHAnsi" w:cs="Cambria"/>
                <w:b/>
                <w:bCs/>
                <w:sz w:val="22"/>
                <w:szCs w:val="22"/>
                <w:lang w:val="pt-PT"/>
              </w:rPr>
              <w:t>Os países em desenvolvimento</w:t>
            </w:r>
            <w:r w:rsidRPr="007378EA">
              <w:rPr>
                <w:rFonts w:asciiTheme="minorHAnsi" w:hAnsiTheme="minorHAnsi"/>
                <w:sz w:val="22"/>
                <w:szCs w:val="22"/>
                <w:lang w:val="pt-PT"/>
              </w:rPr>
              <w:t xml:space="preserve"> </w:t>
            </w:r>
            <w:r w:rsidRPr="007378EA">
              <w:rPr>
                <w:rFonts w:asciiTheme="minorHAnsi" w:eastAsia="Cambria" w:hAnsiTheme="minorHAnsi" w:cs="Cambria"/>
                <w:sz w:val="22"/>
                <w:szCs w:val="22"/>
                <w:lang w:val="pt-PT"/>
              </w:rPr>
              <w:t>devem ampliar sua base tributária nacional (até pelo menos 20% do PIB) e aumentar a parcela de despesas com</w:t>
            </w:r>
            <w:r w:rsidR="009D036A" w:rsidRPr="007378EA">
              <w:rPr>
                <w:rFonts w:asciiTheme="minorHAnsi" w:eastAsia="Cambria" w:hAnsiTheme="minorHAnsi" w:cs="Cambria"/>
                <w:sz w:val="22"/>
                <w:szCs w:val="22"/>
                <w:lang w:val="pt-PT"/>
              </w:rPr>
              <w:t xml:space="preserve"> a</w:t>
            </w:r>
            <w:r w:rsidRPr="007378EA">
              <w:rPr>
                <w:rFonts w:asciiTheme="minorHAnsi" w:eastAsia="Cambria" w:hAnsiTheme="minorHAnsi" w:cs="Cambria"/>
                <w:sz w:val="22"/>
                <w:szCs w:val="22"/>
                <w:lang w:val="pt-PT"/>
              </w:rPr>
              <w:t xml:space="preserve"> educação (até pelo menos 20% dos orçamentos), </w:t>
            </w:r>
            <w:r w:rsidR="009D036A" w:rsidRPr="007378EA">
              <w:rPr>
                <w:rFonts w:asciiTheme="minorHAnsi" w:eastAsia="Cambria" w:hAnsiTheme="minorHAnsi" w:cs="Cambria"/>
                <w:sz w:val="22"/>
                <w:szCs w:val="22"/>
                <w:lang w:val="pt-PT"/>
              </w:rPr>
              <w:t xml:space="preserve">chegando </w:t>
            </w:r>
            <w:r w:rsidRPr="007378EA">
              <w:rPr>
                <w:rFonts w:asciiTheme="minorHAnsi" w:eastAsia="Cambria" w:hAnsiTheme="minorHAnsi" w:cs="Cambria"/>
                <w:sz w:val="22"/>
                <w:szCs w:val="22"/>
                <w:lang w:val="pt-PT"/>
              </w:rPr>
              <w:t xml:space="preserve">os gastos em educação </w:t>
            </w:r>
            <w:r w:rsidR="009D036A" w:rsidRPr="007378EA">
              <w:rPr>
                <w:rFonts w:asciiTheme="minorHAnsi" w:eastAsia="Cambria" w:hAnsiTheme="minorHAnsi" w:cs="Cambria"/>
                <w:sz w:val="22"/>
                <w:szCs w:val="22"/>
                <w:lang w:val="pt-PT"/>
              </w:rPr>
              <w:t>a</w:t>
            </w:r>
            <w:r w:rsidRPr="007378EA">
              <w:rPr>
                <w:rFonts w:asciiTheme="minorHAnsi" w:eastAsia="Cambria" w:hAnsiTheme="minorHAnsi" w:cs="Cambria"/>
                <w:sz w:val="22"/>
                <w:szCs w:val="22"/>
                <w:lang w:val="pt-PT"/>
              </w:rPr>
              <w:t xml:space="preserve"> 6% do PIB, e garant</w:t>
            </w:r>
            <w:r w:rsidR="00D97446" w:rsidRPr="007378EA">
              <w:rPr>
                <w:rFonts w:asciiTheme="minorHAnsi" w:eastAsia="Cambria" w:hAnsiTheme="minorHAnsi" w:cs="Cambria"/>
                <w:sz w:val="22"/>
                <w:szCs w:val="22"/>
                <w:lang w:val="pt-PT"/>
              </w:rPr>
              <w:t>ir que os recursos são analisado</w:t>
            </w:r>
            <w:r w:rsidRPr="007378EA">
              <w:rPr>
                <w:rFonts w:asciiTheme="minorHAnsi" w:eastAsia="Cambria" w:hAnsiTheme="minorHAnsi" w:cs="Cambria"/>
                <w:sz w:val="22"/>
                <w:szCs w:val="22"/>
                <w:lang w:val="pt-PT"/>
              </w:rPr>
              <w:t>s para melhorar a eficácia, a eficiência e a equidade do ensino público.</w:t>
            </w:r>
          </w:p>
          <w:p w14:paraId="7BA76FAE" w14:textId="77777777" w:rsidR="000574A9" w:rsidRPr="007378EA" w:rsidRDefault="00D32FC8" w:rsidP="009D036A">
            <w:pPr>
              <w:numPr>
                <w:ilvl w:val="0"/>
                <w:numId w:val="2"/>
              </w:numPr>
              <w:pBdr>
                <w:left w:val="nil"/>
              </w:pBdr>
              <w:ind w:left="360" w:firstLine="0"/>
              <w:rPr>
                <w:rFonts w:asciiTheme="minorHAnsi" w:hAnsiTheme="minorHAnsi"/>
                <w:sz w:val="22"/>
                <w:szCs w:val="22"/>
                <w:lang w:val="pt-PT"/>
              </w:rPr>
            </w:pPr>
            <w:r w:rsidRPr="007378EA">
              <w:rPr>
                <w:rFonts w:asciiTheme="minorHAnsi" w:eastAsia="Cambria" w:hAnsiTheme="minorHAnsi" w:cs="Cambria"/>
                <w:b/>
                <w:bCs/>
                <w:sz w:val="22"/>
                <w:szCs w:val="22"/>
                <w:lang w:val="pt-PT"/>
              </w:rPr>
              <w:t>Os doadores bilaterais</w:t>
            </w:r>
            <w:r w:rsidR="009D036A" w:rsidRPr="007378EA">
              <w:rPr>
                <w:rFonts w:asciiTheme="minorHAnsi" w:eastAsia="Cambria" w:hAnsiTheme="minorHAnsi" w:cs="Cambria"/>
                <w:b/>
                <w:bCs/>
                <w:sz w:val="22"/>
                <w:szCs w:val="22"/>
                <w:lang w:val="pt-PT"/>
              </w:rPr>
              <w:t xml:space="preserve"> </w:t>
            </w:r>
            <w:r w:rsidR="009D036A" w:rsidRPr="007378EA">
              <w:rPr>
                <w:rFonts w:asciiTheme="minorHAnsi" w:eastAsia="Cambria" w:hAnsiTheme="minorHAnsi" w:cs="Cambria"/>
                <w:bCs/>
                <w:sz w:val="22"/>
                <w:szCs w:val="22"/>
                <w:lang w:val="pt-PT"/>
              </w:rPr>
              <w:t>devem</w:t>
            </w:r>
            <w:r w:rsidRPr="007378EA">
              <w:rPr>
                <w:rFonts w:asciiTheme="minorHAnsi" w:eastAsia="Cambria" w:hAnsiTheme="minorHAnsi" w:cs="Cambria"/>
                <w:sz w:val="22"/>
                <w:szCs w:val="22"/>
                <w:lang w:val="pt-PT"/>
              </w:rPr>
              <w:t xml:space="preserve"> aumentar a ajuda (para a meta global</w:t>
            </w:r>
            <w:r w:rsidR="009D036A" w:rsidRPr="007378EA">
              <w:rPr>
                <w:rFonts w:asciiTheme="minorHAnsi" w:eastAsia="Cambria" w:hAnsiTheme="minorHAnsi" w:cs="Cambria"/>
                <w:sz w:val="22"/>
                <w:szCs w:val="22"/>
                <w:lang w:val="pt-PT"/>
              </w:rPr>
              <w:t xml:space="preserve"> de 0,7%</w:t>
            </w:r>
            <w:r w:rsidRPr="007378EA">
              <w:rPr>
                <w:rFonts w:asciiTheme="minorHAnsi" w:eastAsia="Cambria" w:hAnsiTheme="minorHAnsi" w:cs="Cambria"/>
                <w:sz w:val="22"/>
                <w:szCs w:val="22"/>
                <w:lang w:val="pt-PT"/>
              </w:rPr>
              <w:t>), consagrar pelo menos 30% da sua ajuda à educação para apoiar os esforços multilaterais, e garantir que apoiam os países e as populações mais necessitadas.</w:t>
            </w:r>
          </w:p>
        </w:tc>
      </w:tr>
    </w:tbl>
    <w:p w14:paraId="77BDDA3F" w14:textId="32B4E8EE" w:rsidR="000574A9" w:rsidRPr="007378EA" w:rsidRDefault="00D32FC8">
      <w:pPr>
        <w:rPr>
          <w:rFonts w:asciiTheme="minorHAnsi" w:hAnsiTheme="minorHAnsi"/>
          <w:sz w:val="22"/>
          <w:szCs w:val="22"/>
          <w:lang w:val="pt-PT"/>
        </w:rPr>
      </w:pPr>
      <w:r w:rsidRPr="007378EA">
        <w:rPr>
          <w:rFonts w:asciiTheme="minorHAnsi" w:eastAsia="Arial" w:hAnsiTheme="minorHAnsi" w:cs="Arial"/>
          <w:sz w:val="22"/>
          <w:szCs w:val="22"/>
          <w:lang w:val="pt-PT"/>
        </w:rPr>
        <w:lastRenderedPageBreak/>
        <w:t> </w:t>
      </w:r>
      <w:r w:rsidRPr="00D32FC8">
        <w:rPr>
          <w:rFonts w:ascii="Cambria" w:eastAsia="Cambria" w:hAnsi="Cambria" w:cs="Cambria"/>
          <w:lang w:val="pt-PT"/>
        </w:rPr>
        <w:t> </w:t>
      </w:r>
    </w:p>
    <w:p w14:paraId="496AADA7" w14:textId="538EFCB6" w:rsidR="000574A9" w:rsidRPr="007378EA" w:rsidRDefault="00D32FC8">
      <w:pPr>
        <w:jc w:val="center"/>
        <w:rPr>
          <w:sz w:val="40"/>
          <w:szCs w:val="40"/>
          <w:lang w:val="pt-PT"/>
        </w:rPr>
      </w:pPr>
      <w:r w:rsidRPr="007378EA">
        <w:rPr>
          <w:rFonts w:ascii="Cambria" w:eastAsia="Cambria" w:hAnsi="Cambria" w:cs="Cambria"/>
          <w:b/>
          <w:bCs/>
          <w:sz w:val="40"/>
          <w:szCs w:val="40"/>
          <w:lang w:val="pt-PT"/>
        </w:rPr>
        <w:t xml:space="preserve">Despesas com educação em </w:t>
      </w:r>
      <w:r w:rsidR="003146DC" w:rsidRPr="007378EA">
        <w:rPr>
          <w:rFonts w:ascii="Cambria" w:eastAsia="Cambria" w:hAnsi="Cambria" w:cs="Cambria"/>
          <w:b/>
          <w:bCs/>
          <w:sz w:val="40"/>
          <w:szCs w:val="40"/>
          <w:lang w:val="pt-PT"/>
        </w:rPr>
        <w:t>xxxx</w:t>
      </w:r>
    </w:p>
    <w:p w14:paraId="1C94C8CB" w14:textId="77777777" w:rsidR="000574A9" w:rsidRPr="00D32FC8" w:rsidRDefault="00D32FC8">
      <w:pPr>
        <w:rPr>
          <w:lang w:val="pt-PT"/>
        </w:rPr>
      </w:pPr>
      <w:r w:rsidRPr="00D32FC8">
        <w:rPr>
          <w:rFonts w:ascii="Cambria" w:eastAsia="Cambria" w:hAnsi="Cambria" w:cs="Cambria"/>
          <w:lang w:val="pt-PT"/>
        </w:rPr>
        <w:t> </w:t>
      </w:r>
    </w:p>
    <w:tbl>
      <w:tblPr>
        <w:tblW w:w="10065" w:type="dxa"/>
        <w:tblInd w:w="123" w:type="dxa"/>
        <w:tblCellMar>
          <w:left w:w="0" w:type="dxa"/>
          <w:right w:w="0" w:type="dxa"/>
        </w:tblCellMar>
        <w:tblLook w:val="0000" w:firstRow="0" w:lastRow="0" w:firstColumn="0" w:lastColumn="0" w:noHBand="0" w:noVBand="0"/>
      </w:tblPr>
      <w:tblGrid>
        <w:gridCol w:w="4537"/>
        <w:gridCol w:w="5528"/>
      </w:tblGrid>
      <w:tr w:rsidR="000574A9" w:rsidRPr="00D32FC8" w14:paraId="34F85481" w14:textId="77777777">
        <w:tc>
          <w:tcPr>
            <w:tcW w:w="4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E7E785" w14:textId="4CAD0673" w:rsidR="000574A9" w:rsidRPr="00D32FC8" w:rsidRDefault="00D32FC8">
            <w:pPr>
              <w:rPr>
                <w:lang w:val="pt-PT"/>
              </w:rPr>
            </w:pPr>
            <w:r w:rsidRPr="00D32FC8">
              <w:rPr>
                <w:rFonts w:ascii="Cambria" w:eastAsia="Cambria" w:hAnsi="Cambria" w:cs="Cambria"/>
                <w:b/>
                <w:bCs/>
                <w:lang w:val="pt-PT"/>
              </w:rPr>
              <w:t xml:space="preserve">A promessa feita por </w:t>
            </w:r>
            <w:r w:rsidR="00222D5B" w:rsidRPr="00222D5B">
              <w:rPr>
                <w:rFonts w:ascii="Cambria" w:eastAsia="Cambria" w:hAnsi="Cambria" w:cs="Cambria"/>
                <w:b/>
                <w:bCs/>
                <w:highlight w:val="yellow"/>
                <w:lang w:val="pt-PT"/>
              </w:rPr>
              <w:t>xx</w:t>
            </w:r>
            <w:r w:rsidRPr="00D32FC8">
              <w:rPr>
                <w:rFonts w:ascii="Cambria" w:eastAsia="Cambria" w:hAnsi="Cambria" w:cs="Cambria"/>
                <w:b/>
                <w:bCs/>
                <w:lang w:val="pt-PT"/>
              </w:rPr>
              <w:t xml:space="preserve"> para 2014</w:t>
            </w:r>
            <w:bookmarkStart w:id="0" w:name="_ftnref1"/>
            <w:bookmarkEnd w:id="0"/>
            <w:r w:rsidR="001C29D5">
              <w:rPr>
                <w:rStyle w:val="FootnoteReference"/>
                <w:rFonts w:ascii="Cambria" w:eastAsia="Cambria" w:hAnsi="Cambria" w:cs="Cambria"/>
                <w:b/>
                <w:bCs/>
                <w:lang w:val="pt-PT"/>
              </w:rPr>
              <w:footnoteReference w:id="1"/>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A98FA3" w14:textId="77777777" w:rsidR="000574A9" w:rsidRPr="00D32FC8" w:rsidRDefault="00D32FC8">
            <w:pPr>
              <w:rPr>
                <w:lang w:val="pt-PT"/>
              </w:rPr>
            </w:pPr>
            <w:r w:rsidRPr="00D32FC8">
              <w:rPr>
                <w:rFonts w:ascii="Cambria" w:eastAsia="Cambria" w:hAnsi="Cambria" w:cs="Cambria"/>
                <w:b/>
                <w:bCs/>
                <w:lang w:val="pt-PT"/>
              </w:rPr>
              <w:t>Despesas correntes na educação</w:t>
            </w:r>
          </w:p>
        </w:tc>
      </w:tr>
      <w:tr w:rsidR="000574A9" w:rsidRPr="00D32FC8" w14:paraId="0A523DF1" w14:textId="77777777">
        <w:tc>
          <w:tcPr>
            <w:tcW w:w="4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CEAF1B" w14:textId="24913EC1" w:rsidR="000574A9" w:rsidRPr="00D32FC8" w:rsidRDefault="000574A9">
            <w:pPr>
              <w:rPr>
                <w:lang w:val="pt-PT"/>
              </w:rPr>
            </w:pP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E04F61" w14:textId="732141C2" w:rsidR="000574A9" w:rsidRPr="00D32FC8" w:rsidRDefault="000574A9">
            <w:pPr>
              <w:rPr>
                <w:lang w:val="pt-PT"/>
              </w:rPr>
            </w:pPr>
          </w:p>
        </w:tc>
      </w:tr>
    </w:tbl>
    <w:p w14:paraId="101F0A37" w14:textId="77777777" w:rsidR="000574A9" w:rsidRPr="00D32FC8" w:rsidRDefault="00D32FC8">
      <w:pPr>
        <w:rPr>
          <w:lang w:val="pt-PT"/>
        </w:rPr>
      </w:pPr>
      <w:r w:rsidRPr="00D32FC8">
        <w:rPr>
          <w:rFonts w:ascii="Cambria" w:eastAsia="Cambria" w:hAnsi="Cambria" w:cs="Cambria"/>
          <w:lang w:val="pt-PT"/>
        </w:rPr>
        <w:t> </w:t>
      </w:r>
    </w:p>
    <w:p w14:paraId="444CF71E" w14:textId="50945CB1" w:rsidR="000574A9" w:rsidRDefault="00D32FC8" w:rsidP="00222D5B">
      <w:pPr>
        <w:spacing w:after="160" w:line="257" w:lineRule="auto"/>
        <w:jc w:val="center"/>
        <w:rPr>
          <w:lang w:val="pt-PT"/>
        </w:rPr>
      </w:pPr>
      <w:r w:rsidRPr="00D32FC8">
        <w:rPr>
          <w:rFonts w:ascii="Cambria" w:eastAsia="Cambria" w:hAnsi="Cambria" w:cs="Cambria"/>
          <w:b/>
          <w:bCs/>
          <w:lang w:val="pt-PT"/>
        </w:rPr>
        <w:t>O que poderá ser uma promessa para 2018?</w:t>
      </w:r>
    </w:p>
    <w:p w14:paraId="79456E7E" w14:textId="565015BF" w:rsidR="007378EA" w:rsidRPr="007378EA" w:rsidRDefault="007378EA" w:rsidP="007378EA">
      <w:pPr>
        <w:rPr>
          <w:sz w:val="22"/>
          <w:szCs w:val="22"/>
          <w:lang w:val="pt-PT"/>
        </w:rPr>
      </w:pPr>
      <w:r w:rsidRPr="007378EA">
        <w:rPr>
          <w:rFonts w:ascii="Cambria" w:eastAsia="Cambria" w:hAnsi="Cambria" w:cs="Cambria"/>
          <w:sz w:val="22"/>
          <w:szCs w:val="22"/>
          <w:lang w:val="pt-PT"/>
        </w:rPr>
        <w:t xml:space="preserve">O governo de </w:t>
      </w:r>
      <w:bookmarkStart w:id="1" w:name="_GoBack"/>
      <w:bookmarkEnd w:id="1"/>
      <w:r w:rsidR="001C29D5" w:rsidRPr="001C29D5">
        <w:rPr>
          <w:rFonts w:ascii="Cambria" w:eastAsia="Cambria" w:hAnsi="Cambria" w:cs="Cambria"/>
          <w:sz w:val="22"/>
          <w:szCs w:val="22"/>
          <w:highlight w:val="yellow"/>
          <w:lang w:val="pt-PT"/>
        </w:rPr>
        <w:t>XXX</w:t>
      </w:r>
      <w:r w:rsidRPr="007378EA">
        <w:rPr>
          <w:rFonts w:ascii="Cambria" w:eastAsia="Cambria" w:hAnsi="Cambria" w:cs="Cambria"/>
          <w:sz w:val="22"/>
          <w:szCs w:val="22"/>
          <w:lang w:val="pt-PT"/>
        </w:rPr>
        <w:t xml:space="preserve"> deve:</w:t>
      </w:r>
    </w:p>
    <w:p w14:paraId="77ACC7F0" w14:textId="77777777" w:rsidR="007378EA" w:rsidRPr="007378EA" w:rsidRDefault="007378EA" w:rsidP="007378EA">
      <w:pPr>
        <w:pStyle w:val="ListParagraph"/>
        <w:numPr>
          <w:ilvl w:val="0"/>
          <w:numId w:val="5"/>
        </w:numPr>
        <w:pBdr>
          <w:left w:val="nil"/>
        </w:pBdr>
        <w:rPr>
          <w:sz w:val="22"/>
          <w:szCs w:val="22"/>
          <w:lang w:val="pt-PT"/>
        </w:rPr>
      </w:pPr>
      <w:r w:rsidRPr="007378EA">
        <w:rPr>
          <w:rFonts w:ascii="Cambria" w:eastAsia="Cambria" w:hAnsi="Cambria" w:cs="Cambria"/>
          <w:sz w:val="22"/>
          <w:szCs w:val="22"/>
          <w:lang w:val="pt-PT"/>
        </w:rPr>
        <w:t>Definir uma linha de base clara através da clarificação / referenciação de um montante a prometer junto na PGE</w:t>
      </w:r>
    </w:p>
    <w:p w14:paraId="3A7F3F3E" w14:textId="77777777" w:rsidR="007378EA" w:rsidRPr="007378EA" w:rsidRDefault="007378EA" w:rsidP="007378EA">
      <w:pPr>
        <w:pStyle w:val="ListParagraph"/>
        <w:numPr>
          <w:ilvl w:val="0"/>
          <w:numId w:val="5"/>
        </w:numPr>
        <w:pBdr>
          <w:left w:val="nil"/>
        </w:pBdr>
        <w:rPr>
          <w:sz w:val="22"/>
          <w:szCs w:val="22"/>
          <w:lang w:val="pt-PT"/>
        </w:rPr>
      </w:pPr>
      <w:r w:rsidRPr="007378EA">
        <w:rPr>
          <w:rFonts w:ascii="Cambria" w:eastAsia="Cambria" w:hAnsi="Cambria" w:cs="Cambria"/>
          <w:sz w:val="22"/>
          <w:szCs w:val="22"/>
          <w:lang w:val="pt-PT"/>
        </w:rPr>
        <w:t>Comprometer de atribuir / manter pelo menos 20% do orçamento para a educação.</w:t>
      </w:r>
    </w:p>
    <w:p w14:paraId="57B10546" w14:textId="5B2943B6" w:rsidR="000574A9" w:rsidRPr="007378EA" w:rsidRDefault="00D32FC8">
      <w:pPr>
        <w:rPr>
          <w:sz w:val="22"/>
          <w:szCs w:val="22"/>
          <w:lang w:val="pt-PT"/>
        </w:rPr>
      </w:pPr>
      <w:r w:rsidRPr="007378EA">
        <w:rPr>
          <w:rFonts w:ascii="Cambria" w:eastAsia="Cambria" w:hAnsi="Cambria" w:cs="Cambria"/>
          <w:sz w:val="22"/>
          <w:szCs w:val="22"/>
          <w:lang w:val="pt-PT"/>
        </w:rPr>
        <w:t> </w:t>
      </w:r>
    </w:p>
    <w:p w14:paraId="3D24444B" w14:textId="77777777" w:rsidR="000574A9" w:rsidRPr="00D32FC8" w:rsidRDefault="00D32FC8">
      <w:pPr>
        <w:spacing w:after="160" w:line="257" w:lineRule="auto"/>
        <w:jc w:val="center"/>
        <w:rPr>
          <w:lang w:val="pt-PT"/>
        </w:rPr>
      </w:pPr>
      <w:r w:rsidRPr="00D32FC8">
        <w:rPr>
          <w:rFonts w:ascii="Cambria" w:eastAsia="Cambria" w:hAnsi="Cambria" w:cs="Cambria"/>
          <w:b/>
          <w:bCs/>
          <w:lang w:val="pt-PT"/>
        </w:rPr>
        <w:t>Como poderia a promessa ser financiada através de receitas fiscais?</w:t>
      </w:r>
    </w:p>
    <w:p w14:paraId="483C3EB0" w14:textId="0B5E484F" w:rsidR="007378EA" w:rsidRPr="001C29D5" w:rsidRDefault="007378EA" w:rsidP="007378EA">
      <w:pPr>
        <w:autoSpaceDE w:val="0"/>
        <w:autoSpaceDN w:val="0"/>
        <w:adjustRightInd w:val="0"/>
        <w:rPr>
          <w:rFonts w:asciiTheme="minorHAnsi" w:hAnsiTheme="minorHAnsi" w:cs="Calibri"/>
          <w:color w:val="000000"/>
          <w:sz w:val="22"/>
          <w:szCs w:val="22"/>
          <w:bdr w:val="none" w:sz="0" w:space="0" w:color="auto"/>
          <w:lang w:val="es-419"/>
        </w:rPr>
      </w:pPr>
      <w:r w:rsidRPr="001C29D5">
        <w:rPr>
          <w:rFonts w:asciiTheme="minorHAnsi" w:hAnsiTheme="minorHAnsi" w:cs="Calibri"/>
          <w:color w:val="000000"/>
          <w:sz w:val="22"/>
          <w:szCs w:val="22"/>
          <w:bdr w:val="none" w:sz="0" w:space="0" w:color="auto"/>
          <w:lang w:val="es-419"/>
        </w:rPr>
        <w:t xml:space="preserve">É possível encontrar recursos internos para financiar estes gastos extra com a educação. Os DCP devem expandir a sua base fiscal de formas progressivas para garantir que arrecadam pelo menos 20% do PIB em receitas fiscais. </w:t>
      </w:r>
    </w:p>
    <w:p w14:paraId="7DB51BE2" w14:textId="77777777" w:rsidR="007378EA" w:rsidRPr="001C29D5" w:rsidRDefault="007378EA" w:rsidP="007378EA">
      <w:pPr>
        <w:autoSpaceDE w:val="0"/>
        <w:autoSpaceDN w:val="0"/>
        <w:adjustRightInd w:val="0"/>
        <w:rPr>
          <w:rFonts w:asciiTheme="minorHAnsi" w:hAnsiTheme="minorHAnsi" w:cs="Calibri"/>
          <w:color w:val="000000"/>
          <w:sz w:val="22"/>
          <w:szCs w:val="22"/>
          <w:bdr w:val="none" w:sz="0" w:space="0" w:color="auto"/>
          <w:lang w:val="es-419"/>
        </w:rPr>
      </w:pPr>
    </w:p>
    <w:p w14:paraId="58A600A3" w14:textId="59BC5965" w:rsidR="007378EA" w:rsidRPr="001C29D5" w:rsidRDefault="007378EA" w:rsidP="007378EA">
      <w:pPr>
        <w:autoSpaceDE w:val="0"/>
        <w:autoSpaceDN w:val="0"/>
        <w:adjustRightInd w:val="0"/>
        <w:rPr>
          <w:rFonts w:asciiTheme="minorHAnsi" w:hAnsiTheme="minorHAnsi" w:cs="Calibri"/>
          <w:color w:val="0000EF"/>
          <w:bdr w:val="none" w:sz="0" w:space="0" w:color="auto"/>
          <w:lang w:val="es-419"/>
        </w:rPr>
      </w:pPr>
      <w:r w:rsidRPr="001C29D5">
        <w:rPr>
          <w:rFonts w:asciiTheme="minorHAnsi" w:hAnsiTheme="minorHAnsi" w:cs="Calibri"/>
          <w:color w:val="000000"/>
          <w:sz w:val="22"/>
          <w:szCs w:val="22"/>
          <w:bdr w:val="none" w:sz="0" w:space="0" w:color="auto"/>
          <w:lang w:val="es-419"/>
        </w:rPr>
        <w:t>As Nações Unidas observaram que os países em desenvolvimento precisam de alcançar os 20% para atender à prestação de serviços básicos.</w:t>
      </w:r>
      <w:r w:rsidR="001C29D5">
        <w:rPr>
          <w:rStyle w:val="FootnoteReference"/>
          <w:rFonts w:asciiTheme="minorHAnsi" w:hAnsiTheme="minorHAnsi" w:cs="Calibri"/>
          <w:color w:val="000000"/>
          <w:sz w:val="22"/>
          <w:szCs w:val="22"/>
          <w:bdr w:val="none" w:sz="0" w:space="0" w:color="auto"/>
          <w:lang w:val="es-419"/>
        </w:rPr>
        <w:footnoteReference w:id="2"/>
      </w:r>
      <w:r w:rsidRPr="001C29D5">
        <w:rPr>
          <w:rFonts w:asciiTheme="minorHAnsi" w:hAnsiTheme="minorHAnsi" w:cs="Calibri"/>
          <w:color w:val="000000"/>
          <w:sz w:val="22"/>
          <w:szCs w:val="22"/>
          <w:bdr w:val="none" w:sz="0" w:space="0" w:color="auto"/>
          <w:lang w:val="es-419"/>
        </w:rPr>
        <w:t xml:space="preserve"> </w:t>
      </w:r>
    </w:p>
    <w:p w14:paraId="2B514F6C" w14:textId="77777777" w:rsidR="007378EA" w:rsidRPr="001C29D5" w:rsidRDefault="007378EA" w:rsidP="007378EA">
      <w:pPr>
        <w:autoSpaceDE w:val="0"/>
        <w:autoSpaceDN w:val="0"/>
        <w:adjustRightInd w:val="0"/>
        <w:rPr>
          <w:rFonts w:asciiTheme="minorHAnsi" w:hAnsiTheme="minorHAnsi" w:cs="Calibri"/>
          <w:color w:val="000000"/>
          <w:sz w:val="22"/>
          <w:szCs w:val="22"/>
          <w:bdr w:val="none" w:sz="0" w:space="0" w:color="auto"/>
          <w:lang w:val="es-419"/>
        </w:rPr>
      </w:pPr>
    </w:p>
    <w:p w14:paraId="73734ACC" w14:textId="77777777" w:rsidR="007378EA" w:rsidRPr="007378EA" w:rsidRDefault="007378EA" w:rsidP="007378EA">
      <w:pPr>
        <w:autoSpaceDE w:val="0"/>
        <w:autoSpaceDN w:val="0"/>
        <w:adjustRightInd w:val="0"/>
        <w:rPr>
          <w:rFonts w:asciiTheme="minorHAnsi" w:hAnsiTheme="minorHAnsi" w:cs="Calibri"/>
          <w:color w:val="000000"/>
          <w:sz w:val="22"/>
          <w:szCs w:val="22"/>
          <w:bdr w:val="none" w:sz="0" w:space="0" w:color="auto"/>
          <w:lang w:val="en-GB"/>
        </w:rPr>
      </w:pPr>
      <w:r w:rsidRPr="001C29D5">
        <w:rPr>
          <w:rFonts w:asciiTheme="minorHAnsi" w:hAnsiTheme="minorHAnsi" w:cs="Calibri"/>
          <w:color w:val="000000"/>
          <w:sz w:val="22"/>
          <w:szCs w:val="22"/>
          <w:bdr w:val="none" w:sz="0" w:space="0" w:color="auto"/>
          <w:lang w:val="es-419"/>
        </w:rPr>
        <w:t xml:space="preserve">Os países podem expandir a sua base fiscal de várias maneiras. </w:t>
      </w:r>
      <w:r w:rsidRPr="007378EA">
        <w:rPr>
          <w:rFonts w:asciiTheme="minorHAnsi" w:hAnsiTheme="minorHAnsi" w:cs="Calibri"/>
          <w:color w:val="000000"/>
          <w:sz w:val="22"/>
          <w:szCs w:val="22"/>
          <w:bdr w:val="none" w:sz="0" w:space="0" w:color="auto"/>
          <w:lang w:val="en-GB"/>
        </w:rPr>
        <w:t>Podem, por exemplo:</w:t>
      </w:r>
    </w:p>
    <w:p w14:paraId="29096F4B" w14:textId="4224B147" w:rsidR="007378EA" w:rsidRPr="001C29D5" w:rsidRDefault="007378EA" w:rsidP="007378EA">
      <w:pPr>
        <w:pStyle w:val="ListParagraph"/>
        <w:numPr>
          <w:ilvl w:val="0"/>
          <w:numId w:val="6"/>
        </w:numPr>
        <w:autoSpaceDE w:val="0"/>
        <w:autoSpaceDN w:val="0"/>
        <w:adjustRightInd w:val="0"/>
        <w:rPr>
          <w:rFonts w:cs="Calibri"/>
          <w:color w:val="000000"/>
          <w:sz w:val="22"/>
          <w:szCs w:val="22"/>
          <w:lang w:val="es-419"/>
        </w:rPr>
      </w:pPr>
      <w:r w:rsidRPr="001C29D5">
        <w:rPr>
          <w:rFonts w:cs="Calibri"/>
          <w:color w:val="000000"/>
          <w:sz w:val="22"/>
          <w:szCs w:val="22"/>
          <w:lang w:val="es-419"/>
        </w:rPr>
        <w:t>Aumentar a eficiência das suas administrações fiscais</w:t>
      </w:r>
    </w:p>
    <w:p w14:paraId="69FF5B66" w14:textId="3B8E38A8" w:rsidR="007378EA" w:rsidRPr="001C29D5" w:rsidRDefault="007378EA" w:rsidP="007378EA">
      <w:pPr>
        <w:pStyle w:val="ListParagraph"/>
        <w:numPr>
          <w:ilvl w:val="0"/>
          <w:numId w:val="6"/>
        </w:numPr>
        <w:autoSpaceDE w:val="0"/>
        <w:autoSpaceDN w:val="0"/>
        <w:adjustRightInd w:val="0"/>
        <w:rPr>
          <w:rFonts w:cs="Calibri"/>
          <w:color w:val="000000"/>
          <w:sz w:val="22"/>
          <w:szCs w:val="22"/>
          <w:lang w:val="es-419"/>
        </w:rPr>
      </w:pPr>
      <w:r w:rsidRPr="001C29D5">
        <w:rPr>
          <w:rFonts w:cs="Calibri"/>
          <w:color w:val="000000"/>
          <w:sz w:val="22"/>
          <w:szCs w:val="22"/>
          <w:lang w:val="es-419"/>
        </w:rPr>
        <w:t>Abolir incentivos fiscais prejudiciais oferecidos às empresas</w:t>
      </w:r>
    </w:p>
    <w:p w14:paraId="04623904" w14:textId="6A6B4438" w:rsidR="007378EA" w:rsidRPr="001C29D5" w:rsidRDefault="007378EA" w:rsidP="007378EA">
      <w:pPr>
        <w:pStyle w:val="ListParagraph"/>
        <w:numPr>
          <w:ilvl w:val="0"/>
          <w:numId w:val="6"/>
        </w:numPr>
        <w:autoSpaceDE w:val="0"/>
        <w:autoSpaceDN w:val="0"/>
        <w:adjustRightInd w:val="0"/>
        <w:rPr>
          <w:rFonts w:cs="Calibri"/>
          <w:color w:val="000000"/>
          <w:sz w:val="22"/>
          <w:szCs w:val="22"/>
          <w:lang w:val="es-419"/>
        </w:rPr>
      </w:pPr>
      <w:r w:rsidRPr="001C29D5">
        <w:rPr>
          <w:rFonts w:cs="Calibri"/>
          <w:color w:val="000000"/>
          <w:sz w:val="22"/>
          <w:szCs w:val="22"/>
          <w:lang w:val="es-419"/>
        </w:rPr>
        <w:t>Reduzir / eliminar a evasão e fraude fiscal por parte de empresas multinacionais</w:t>
      </w:r>
    </w:p>
    <w:p w14:paraId="56770835" w14:textId="4F6E5A64" w:rsidR="00A66679" w:rsidRPr="001C29D5" w:rsidRDefault="007378EA" w:rsidP="007378EA">
      <w:pPr>
        <w:pStyle w:val="ListParagraph"/>
        <w:numPr>
          <w:ilvl w:val="0"/>
          <w:numId w:val="6"/>
        </w:numPr>
        <w:autoSpaceDE w:val="0"/>
        <w:autoSpaceDN w:val="0"/>
        <w:adjustRightInd w:val="0"/>
        <w:rPr>
          <w:rFonts w:cs="Calibri"/>
          <w:color w:val="000000"/>
          <w:sz w:val="22"/>
          <w:szCs w:val="22"/>
          <w:lang w:val="es-419"/>
        </w:rPr>
      </w:pPr>
      <w:r w:rsidRPr="001C29D5">
        <w:rPr>
          <w:rFonts w:cs="Calibri"/>
          <w:color w:val="000000"/>
          <w:sz w:val="22"/>
          <w:szCs w:val="22"/>
          <w:lang w:val="es-419"/>
        </w:rPr>
        <w:t>Formalizar pelo menos partes do sector informal, para garantir que aqueles que devem pagar impostos o façam.</w:t>
      </w:r>
    </w:p>
    <w:p w14:paraId="2F82B02C" w14:textId="77777777" w:rsidR="00A66679" w:rsidRDefault="00A66679">
      <w:pPr>
        <w:spacing w:before="120" w:after="120"/>
        <w:ind w:left="15" w:right="15"/>
        <w:rPr>
          <w:lang w:val="pt-PT"/>
        </w:rPr>
      </w:pPr>
    </w:p>
    <w:p w14:paraId="6BD9C0FB" w14:textId="1EFAF792" w:rsidR="000574A9" w:rsidRPr="00D32FC8" w:rsidRDefault="00141646" w:rsidP="001C29D5">
      <w:pPr>
        <w:spacing w:before="120" w:after="120"/>
        <w:ind w:left="15" w:right="15"/>
        <w:rPr>
          <w:lang w:val="pt-PT"/>
        </w:rPr>
      </w:pPr>
      <w:r>
        <w:rPr>
          <w:lang w:val="pt-PT"/>
        </w:rPr>
        <w:pict w14:anchorId="69C0B898">
          <v:rect id="_x0000_i1025" style="width:142.55pt;height:2.25pt" o:hrpct="330" o:hralign="center" o:hrstd="t" o:hr="t" fillcolor="gray" stroked="f">
            <v:path strokeok="f"/>
          </v:rect>
        </w:pict>
      </w:r>
    </w:p>
    <w:p w14:paraId="293823C3" w14:textId="03554065" w:rsidR="000574A9" w:rsidRPr="00D32FC8" w:rsidRDefault="000574A9">
      <w:pPr>
        <w:rPr>
          <w:lang w:val="pt-PT"/>
        </w:rPr>
      </w:pPr>
      <w:bookmarkStart w:id="2" w:name="_ftn2"/>
      <w:bookmarkEnd w:id="2"/>
    </w:p>
    <w:sectPr w:rsidR="000574A9" w:rsidRPr="00D32FC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9FA4" w14:textId="77777777" w:rsidR="00141646" w:rsidRDefault="00141646" w:rsidP="001C29D5">
      <w:r>
        <w:separator/>
      </w:r>
    </w:p>
  </w:endnote>
  <w:endnote w:type="continuationSeparator" w:id="0">
    <w:p w14:paraId="2D7F2970" w14:textId="77777777" w:rsidR="00141646" w:rsidRDefault="00141646" w:rsidP="001C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1A90" w14:textId="77777777" w:rsidR="00141646" w:rsidRDefault="00141646" w:rsidP="001C29D5">
      <w:r>
        <w:separator/>
      </w:r>
    </w:p>
  </w:footnote>
  <w:footnote w:type="continuationSeparator" w:id="0">
    <w:p w14:paraId="3EF9AB77" w14:textId="77777777" w:rsidR="00141646" w:rsidRDefault="00141646" w:rsidP="001C29D5">
      <w:r>
        <w:continuationSeparator/>
      </w:r>
    </w:p>
  </w:footnote>
  <w:footnote w:id="1">
    <w:p w14:paraId="24DD3994" w14:textId="549B0284" w:rsidR="001C29D5" w:rsidRPr="001C29D5" w:rsidRDefault="001C29D5">
      <w:pPr>
        <w:pStyle w:val="FootnoteText"/>
        <w:rPr>
          <w:lang w:val="en-GB"/>
        </w:rPr>
      </w:pPr>
      <w:r>
        <w:rPr>
          <w:rStyle w:val="FootnoteReference"/>
        </w:rPr>
        <w:footnoteRef/>
      </w:r>
      <w:r>
        <w:t xml:space="preserve"> </w:t>
      </w:r>
      <w:r w:rsidRPr="00D32FC8">
        <w:rPr>
          <w:lang w:val="pt-PT"/>
        </w:rPr>
        <w:t>http://www.globalpartnership.org/content/pledge-report-gpe-replenishment-conference-june-2014</w:t>
      </w:r>
    </w:p>
  </w:footnote>
  <w:footnote w:id="2">
    <w:p w14:paraId="29BE508F" w14:textId="7BA7AA83" w:rsidR="001C29D5" w:rsidRPr="001C29D5" w:rsidRDefault="001C29D5">
      <w:pPr>
        <w:pStyle w:val="FootnoteText"/>
        <w:rPr>
          <w:lang w:val="es-419"/>
        </w:rPr>
      </w:pPr>
      <w:r>
        <w:rPr>
          <w:rStyle w:val="FootnoteReference"/>
        </w:rPr>
        <w:footnoteRef/>
      </w:r>
      <w:r w:rsidRPr="001C29D5">
        <w:rPr>
          <w:lang w:val="es-419"/>
        </w:rPr>
        <w:t xml:space="preserve"> O PNUD estimou os requisitos mínimos para alcançar os ODMs. Esta figura também foi utilizada pelo Relatório Global de Monitoramento da Educação da UNESCO como uma estimativa dos níveis mínimos necessários para ampliar a educação de qualidade - com uma priorização efetiva da educação para acompanhar o aumento da mobilização da receita nacional. Uma figura mais precisa e atualizada para atender o</w:t>
      </w:r>
      <w:r>
        <w:rPr>
          <w:lang w:val="es-419"/>
        </w:rPr>
        <w:t>s</w:t>
      </w:r>
      <w:r w:rsidRPr="001C29D5">
        <w:rPr>
          <w:lang w:val="es-419"/>
        </w:rPr>
        <w:t xml:space="preserve"> </w:t>
      </w:r>
      <w:r>
        <w:rPr>
          <w:lang w:val="es-419"/>
        </w:rPr>
        <w:t>ODS</w:t>
      </w:r>
      <w:r w:rsidRPr="001C29D5">
        <w:rPr>
          <w:lang w:val="es-419"/>
        </w:rPr>
        <w:t xml:space="preserve"> não existe, mas é provável que isso precise ser muito maior.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A404CBA">
      <w:start w:val="1"/>
      <w:numFmt w:val="bullet"/>
      <w:lvlText w:val=""/>
      <w:lvlJc w:val="left"/>
      <w:pPr>
        <w:tabs>
          <w:tab w:val="num" w:pos="720"/>
        </w:tabs>
        <w:ind w:left="720" w:hanging="360"/>
      </w:pPr>
      <w:rPr>
        <w:rFonts w:ascii="Symbol" w:hAnsi="Symbol"/>
        <w:sz w:val="24"/>
        <w:szCs w:val="24"/>
        <w:bdr w:val="nil"/>
      </w:rPr>
    </w:lvl>
    <w:lvl w:ilvl="1" w:tplc="CCE62904">
      <w:start w:val="1"/>
      <w:numFmt w:val="bullet"/>
      <w:lvlText w:val="o"/>
      <w:lvlJc w:val="left"/>
      <w:pPr>
        <w:tabs>
          <w:tab w:val="num" w:pos="1440"/>
        </w:tabs>
        <w:ind w:left="1440" w:hanging="360"/>
      </w:pPr>
      <w:rPr>
        <w:rFonts w:ascii="Courier New" w:hAnsi="Courier New"/>
      </w:rPr>
    </w:lvl>
    <w:lvl w:ilvl="2" w:tplc="D13EC184">
      <w:start w:val="1"/>
      <w:numFmt w:val="bullet"/>
      <w:lvlText w:val=""/>
      <w:lvlJc w:val="left"/>
      <w:pPr>
        <w:tabs>
          <w:tab w:val="num" w:pos="2160"/>
        </w:tabs>
        <w:ind w:left="2160" w:hanging="360"/>
      </w:pPr>
      <w:rPr>
        <w:rFonts w:ascii="Wingdings" w:hAnsi="Wingdings"/>
      </w:rPr>
    </w:lvl>
    <w:lvl w:ilvl="3" w:tplc="97647CE6">
      <w:start w:val="1"/>
      <w:numFmt w:val="bullet"/>
      <w:lvlText w:val=""/>
      <w:lvlJc w:val="left"/>
      <w:pPr>
        <w:tabs>
          <w:tab w:val="num" w:pos="2880"/>
        </w:tabs>
        <w:ind w:left="2880" w:hanging="360"/>
      </w:pPr>
      <w:rPr>
        <w:rFonts w:ascii="Symbol" w:hAnsi="Symbol"/>
      </w:rPr>
    </w:lvl>
    <w:lvl w:ilvl="4" w:tplc="244607D6">
      <w:start w:val="1"/>
      <w:numFmt w:val="bullet"/>
      <w:lvlText w:val="o"/>
      <w:lvlJc w:val="left"/>
      <w:pPr>
        <w:tabs>
          <w:tab w:val="num" w:pos="3600"/>
        </w:tabs>
        <w:ind w:left="3600" w:hanging="360"/>
      </w:pPr>
      <w:rPr>
        <w:rFonts w:ascii="Courier New" w:hAnsi="Courier New"/>
      </w:rPr>
    </w:lvl>
    <w:lvl w:ilvl="5" w:tplc="0D02631A">
      <w:start w:val="1"/>
      <w:numFmt w:val="bullet"/>
      <w:lvlText w:val=""/>
      <w:lvlJc w:val="left"/>
      <w:pPr>
        <w:tabs>
          <w:tab w:val="num" w:pos="4320"/>
        </w:tabs>
        <w:ind w:left="4320" w:hanging="360"/>
      </w:pPr>
      <w:rPr>
        <w:rFonts w:ascii="Wingdings" w:hAnsi="Wingdings"/>
      </w:rPr>
    </w:lvl>
    <w:lvl w:ilvl="6" w:tplc="47CE0354">
      <w:start w:val="1"/>
      <w:numFmt w:val="bullet"/>
      <w:lvlText w:val=""/>
      <w:lvlJc w:val="left"/>
      <w:pPr>
        <w:tabs>
          <w:tab w:val="num" w:pos="5040"/>
        </w:tabs>
        <w:ind w:left="5040" w:hanging="360"/>
      </w:pPr>
      <w:rPr>
        <w:rFonts w:ascii="Symbol" w:hAnsi="Symbol"/>
      </w:rPr>
    </w:lvl>
    <w:lvl w:ilvl="7" w:tplc="06A6663C">
      <w:start w:val="1"/>
      <w:numFmt w:val="bullet"/>
      <w:lvlText w:val="o"/>
      <w:lvlJc w:val="left"/>
      <w:pPr>
        <w:tabs>
          <w:tab w:val="num" w:pos="5760"/>
        </w:tabs>
        <w:ind w:left="5760" w:hanging="360"/>
      </w:pPr>
      <w:rPr>
        <w:rFonts w:ascii="Courier New" w:hAnsi="Courier New"/>
      </w:rPr>
    </w:lvl>
    <w:lvl w:ilvl="8" w:tplc="8DC2ACA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1A02B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A0B6FC">
      <w:start w:val="1"/>
      <w:numFmt w:val="bullet"/>
      <w:lvlText w:val="o"/>
      <w:lvlJc w:val="left"/>
      <w:pPr>
        <w:tabs>
          <w:tab w:val="num" w:pos="1440"/>
        </w:tabs>
        <w:ind w:left="1440" w:hanging="360"/>
      </w:pPr>
      <w:rPr>
        <w:rFonts w:ascii="Courier New" w:hAnsi="Courier New"/>
      </w:rPr>
    </w:lvl>
    <w:lvl w:ilvl="2" w:tplc="7870DFF6">
      <w:start w:val="1"/>
      <w:numFmt w:val="bullet"/>
      <w:lvlText w:val=""/>
      <w:lvlJc w:val="left"/>
      <w:pPr>
        <w:tabs>
          <w:tab w:val="num" w:pos="2160"/>
        </w:tabs>
        <w:ind w:left="2160" w:hanging="360"/>
      </w:pPr>
      <w:rPr>
        <w:rFonts w:ascii="Wingdings" w:hAnsi="Wingdings"/>
      </w:rPr>
    </w:lvl>
    <w:lvl w:ilvl="3" w:tplc="A536B9D0">
      <w:start w:val="1"/>
      <w:numFmt w:val="bullet"/>
      <w:lvlText w:val=""/>
      <w:lvlJc w:val="left"/>
      <w:pPr>
        <w:tabs>
          <w:tab w:val="num" w:pos="2880"/>
        </w:tabs>
        <w:ind w:left="2880" w:hanging="360"/>
      </w:pPr>
      <w:rPr>
        <w:rFonts w:ascii="Symbol" w:hAnsi="Symbol"/>
      </w:rPr>
    </w:lvl>
    <w:lvl w:ilvl="4" w:tplc="F176D4C8">
      <w:start w:val="1"/>
      <w:numFmt w:val="bullet"/>
      <w:lvlText w:val="o"/>
      <w:lvlJc w:val="left"/>
      <w:pPr>
        <w:tabs>
          <w:tab w:val="num" w:pos="3600"/>
        </w:tabs>
        <w:ind w:left="3600" w:hanging="360"/>
      </w:pPr>
      <w:rPr>
        <w:rFonts w:ascii="Courier New" w:hAnsi="Courier New"/>
      </w:rPr>
    </w:lvl>
    <w:lvl w:ilvl="5" w:tplc="7F46104E">
      <w:start w:val="1"/>
      <w:numFmt w:val="bullet"/>
      <w:lvlText w:val=""/>
      <w:lvlJc w:val="left"/>
      <w:pPr>
        <w:tabs>
          <w:tab w:val="num" w:pos="4320"/>
        </w:tabs>
        <w:ind w:left="4320" w:hanging="360"/>
      </w:pPr>
      <w:rPr>
        <w:rFonts w:ascii="Wingdings" w:hAnsi="Wingdings"/>
      </w:rPr>
    </w:lvl>
    <w:lvl w:ilvl="6" w:tplc="E97491FE">
      <w:start w:val="1"/>
      <w:numFmt w:val="bullet"/>
      <w:lvlText w:val=""/>
      <w:lvlJc w:val="left"/>
      <w:pPr>
        <w:tabs>
          <w:tab w:val="num" w:pos="5040"/>
        </w:tabs>
        <w:ind w:left="5040" w:hanging="360"/>
      </w:pPr>
      <w:rPr>
        <w:rFonts w:ascii="Symbol" w:hAnsi="Symbol"/>
      </w:rPr>
    </w:lvl>
    <w:lvl w:ilvl="7" w:tplc="6324C246">
      <w:start w:val="1"/>
      <w:numFmt w:val="bullet"/>
      <w:lvlText w:val="o"/>
      <w:lvlJc w:val="left"/>
      <w:pPr>
        <w:tabs>
          <w:tab w:val="num" w:pos="5760"/>
        </w:tabs>
        <w:ind w:left="5760" w:hanging="360"/>
      </w:pPr>
      <w:rPr>
        <w:rFonts w:ascii="Courier New" w:hAnsi="Courier New"/>
      </w:rPr>
    </w:lvl>
    <w:lvl w:ilvl="8" w:tplc="9C24BBF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EEC5412">
      <w:start w:val="1"/>
      <w:numFmt w:val="bullet"/>
      <w:lvlText w:val=""/>
      <w:lvlJc w:val="left"/>
      <w:pPr>
        <w:tabs>
          <w:tab w:val="num" w:pos="720"/>
        </w:tabs>
        <w:ind w:left="720" w:hanging="360"/>
      </w:pPr>
      <w:rPr>
        <w:rFonts w:ascii="Symbol" w:hAnsi="Symbol"/>
        <w:sz w:val="24"/>
        <w:szCs w:val="24"/>
        <w:bdr w:val="nil"/>
      </w:rPr>
    </w:lvl>
    <w:lvl w:ilvl="1" w:tplc="92A2DB68">
      <w:start w:val="1"/>
      <w:numFmt w:val="bullet"/>
      <w:lvlText w:val="o"/>
      <w:lvlJc w:val="left"/>
      <w:pPr>
        <w:tabs>
          <w:tab w:val="num" w:pos="1440"/>
        </w:tabs>
        <w:ind w:left="1440" w:hanging="360"/>
      </w:pPr>
      <w:rPr>
        <w:rFonts w:ascii="Courier New" w:hAnsi="Courier New"/>
      </w:rPr>
    </w:lvl>
    <w:lvl w:ilvl="2" w:tplc="C9F2CA32">
      <w:start w:val="1"/>
      <w:numFmt w:val="bullet"/>
      <w:lvlText w:val=""/>
      <w:lvlJc w:val="left"/>
      <w:pPr>
        <w:tabs>
          <w:tab w:val="num" w:pos="2160"/>
        </w:tabs>
        <w:ind w:left="2160" w:hanging="360"/>
      </w:pPr>
      <w:rPr>
        <w:rFonts w:ascii="Wingdings" w:hAnsi="Wingdings"/>
      </w:rPr>
    </w:lvl>
    <w:lvl w:ilvl="3" w:tplc="70363DE4">
      <w:start w:val="1"/>
      <w:numFmt w:val="bullet"/>
      <w:lvlText w:val=""/>
      <w:lvlJc w:val="left"/>
      <w:pPr>
        <w:tabs>
          <w:tab w:val="num" w:pos="2880"/>
        </w:tabs>
        <w:ind w:left="2880" w:hanging="360"/>
      </w:pPr>
      <w:rPr>
        <w:rFonts w:ascii="Symbol" w:hAnsi="Symbol"/>
      </w:rPr>
    </w:lvl>
    <w:lvl w:ilvl="4" w:tplc="CFC07902">
      <w:start w:val="1"/>
      <w:numFmt w:val="bullet"/>
      <w:lvlText w:val="o"/>
      <w:lvlJc w:val="left"/>
      <w:pPr>
        <w:tabs>
          <w:tab w:val="num" w:pos="3600"/>
        </w:tabs>
        <w:ind w:left="3600" w:hanging="360"/>
      </w:pPr>
      <w:rPr>
        <w:rFonts w:ascii="Courier New" w:hAnsi="Courier New"/>
      </w:rPr>
    </w:lvl>
    <w:lvl w:ilvl="5" w:tplc="A5D0C06C">
      <w:start w:val="1"/>
      <w:numFmt w:val="bullet"/>
      <w:lvlText w:val=""/>
      <w:lvlJc w:val="left"/>
      <w:pPr>
        <w:tabs>
          <w:tab w:val="num" w:pos="4320"/>
        </w:tabs>
        <w:ind w:left="4320" w:hanging="360"/>
      </w:pPr>
      <w:rPr>
        <w:rFonts w:ascii="Wingdings" w:hAnsi="Wingdings"/>
      </w:rPr>
    </w:lvl>
    <w:lvl w:ilvl="6" w:tplc="9D08CB26">
      <w:start w:val="1"/>
      <w:numFmt w:val="bullet"/>
      <w:lvlText w:val=""/>
      <w:lvlJc w:val="left"/>
      <w:pPr>
        <w:tabs>
          <w:tab w:val="num" w:pos="5040"/>
        </w:tabs>
        <w:ind w:left="5040" w:hanging="360"/>
      </w:pPr>
      <w:rPr>
        <w:rFonts w:ascii="Symbol" w:hAnsi="Symbol"/>
      </w:rPr>
    </w:lvl>
    <w:lvl w:ilvl="7" w:tplc="F440F8DA">
      <w:start w:val="1"/>
      <w:numFmt w:val="bullet"/>
      <w:lvlText w:val="o"/>
      <w:lvlJc w:val="left"/>
      <w:pPr>
        <w:tabs>
          <w:tab w:val="num" w:pos="5760"/>
        </w:tabs>
        <w:ind w:left="5760" w:hanging="360"/>
      </w:pPr>
      <w:rPr>
        <w:rFonts w:ascii="Courier New" w:hAnsi="Courier New"/>
      </w:rPr>
    </w:lvl>
    <w:lvl w:ilvl="8" w:tplc="5FCA4320">
      <w:start w:val="1"/>
      <w:numFmt w:val="bullet"/>
      <w:lvlText w:val=""/>
      <w:lvlJc w:val="left"/>
      <w:pPr>
        <w:tabs>
          <w:tab w:val="num" w:pos="6480"/>
        </w:tabs>
        <w:ind w:left="6480" w:hanging="360"/>
      </w:pPr>
      <w:rPr>
        <w:rFonts w:ascii="Wingdings" w:hAnsi="Wingdings"/>
      </w:rPr>
    </w:lvl>
  </w:abstractNum>
  <w:abstractNum w:abstractNumId="3" w15:restartNumberingAfterBreak="0">
    <w:nsid w:val="3407310B"/>
    <w:multiLevelType w:val="hybridMultilevel"/>
    <w:tmpl w:val="5C8AA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022EC"/>
    <w:multiLevelType w:val="hybridMultilevel"/>
    <w:tmpl w:val="BDE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C5327"/>
    <w:multiLevelType w:val="hybridMultilevel"/>
    <w:tmpl w:val="6EE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A9"/>
    <w:rsid w:val="000574A9"/>
    <w:rsid w:val="00141646"/>
    <w:rsid w:val="001C29D5"/>
    <w:rsid w:val="00222D5B"/>
    <w:rsid w:val="003146DC"/>
    <w:rsid w:val="00405BE8"/>
    <w:rsid w:val="007378EA"/>
    <w:rsid w:val="00894B3A"/>
    <w:rsid w:val="009D036A"/>
    <w:rsid w:val="00A66679"/>
    <w:rsid w:val="00A8277E"/>
    <w:rsid w:val="00C23D34"/>
    <w:rsid w:val="00D32FC8"/>
    <w:rsid w:val="00D97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6A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ListParagraphChar"/>
    <w:uiPriority w:val="34"/>
    <w:qFormat/>
    <w:rsid w:val="00894B3A"/>
    <w:pPr>
      <w:ind w:left="720"/>
      <w:contextualSpacing/>
    </w:pPr>
    <w:rPr>
      <w:rFonts w:asciiTheme="minorHAnsi" w:eastAsiaTheme="minorEastAsia" w:hAnsiTheme="minorHAnsi" w:cstheme="minorBidi"/>
      <w:bdr w:val="none" w:sz="0" w:space="0" w:color="auto"/>
      <w:lang w:val="fr-FR" w:eastAsia="fr-FR" w:bidi="fr-FR"/>
    </w:rPr>
  </w:style>
  <w:style w:type="character" w:customStyle="1" w:styleId="ListParagraphChar">
    <w:name w:val="List Paragraph Char"/>
    <w:aliases w:val="List Paragraph1 Char,List Bullet-OpsManual Char,Numbered paragraph Char,List Paragraph2 Char,Medium Grid 1 - Accent 21 Char,List Paragraph-ExecSummary Char,Indent Paragraph Char,Citation List Char,Resume Title Char,Ha Char"/>
    <w:link w:val="ListParagraph"/>
    <w:uiPriority w:val="34"/>
    <w:qFormat/>
    <w:locked/>
    <w:rsid w:val="00894B3A"/>
    <w:rPr>
      <w:rFonts w:asciiTheme="minorHAnsi" w:eastAsiaTheme="minorEastAsia" w:hAnsiTheme="minorHAnsi" w:cstheme="minorBidi"/>
      <w:sz w:val="24"/>
      <w:szCs w:val="24"/>
      <w:lang w:val="fr-FR" w:eastAsia="fr-FR" w:bidi="fr-FR"/>
    </w:rPr>
  </w:style>
  <w:style w:type="paragraph" w:styleId="FootnoteText">
    <w:name w:val="footnote text"/>
    <w:basedOn w:val="Normal"/>
    <w:link w:val="FootnoteTextChar"/>
    <w:uiPriority w:val="99"/>
    <w:semiHidden/>
    <w:unhideWhenUsed/>
    <w:rsid w:val="001C29D5"/>
    <w:rPr>
      <w:sz w:val="20"/>
      <w:szCs w:val="20"/>
    </w:rPr>
  </w:style>
  <w:style w:type="character" w:customStyle="1" w:styleId="FootnoteTextChar">
    <w:name w:val="Footnote Text Char"/>
    <w:basedOn w:val="DefaultParagraphFont"/>
    <w:link w:val="FootnoteText"/>
    <w:uiPriority w:val="99"/>
    <w:semiHidden/>
    <w:rsid w:val="001C29D5"/>
    <w:rPr>
      <w:bdr w:val="nil"/>
    </w:rPr>
  </w:style>
  <w:style w:type="character" w:styleId="FootnoteReference">
    <w:name w:val="footnote reference"/>
    <w:basedOn w:val="DefaultParagraphFont"/>
    <w:uiPriority w:val="99"/>
    <w:semiHidden/>
    <w:unhideWhenUsed/>
    <w:rsid w:val="001C29D5"/>
    <w:rPr>
      <w:vertAlign w:val="superscript"/>
    </w:rPr>
  </w:style>
  <w:style w:type="paragraph" w:styleId="EndnoteText">
    <w:name w:val="endnote text"/>
    <w:basedOn w:val="Normal"/>
    <w:link w:val="EndnoteTextChar"/>
    <w:uiPriority w:val="99"/>
    <w:semiHidden/>
    <w:unhideWhenUsed/>
    <w:rsid w:val="001C29D5"/>
    <w:rPr>
      <w:sz w:val="20"/>
      <w:szCs w:val="20"/>
    </w:rPr>
  </w:style>
  <w:style w:type="character" w:customStyle="1" w:styleId="EndnoteTextChar">
    <w:name w:val="Endnote Text Char"/>
    <w:basedOn w:val="DefaultParagraphFont"/>
    <w:link w:val="EndnoteText"/>
    <w:uiPriority w:val="99"/>
    <w:semiHidden/>
    <w:rsid w:val="001C29D5"/>
    <w:rPr>
      <w:bdr w:val="nil"/>
    </w:rPr>
  </w:style>
  <w:style w:type="character" w:styleId="EndnoteReference">
    <w:name w:val="endnote reference"/>
    <w:basedOn w:val="DefaultParagraphFont"/>
    <w:uiPriority w:val="99"/>
    <w:semiHidden/>
    <w:unhideWhenUsed/>
    <w:rsid w:val="001C2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031F-63B9-476D-9AA0-69CC02FD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Walker</dc:creator>
  <cp:lastModifiedBy>Sherry Abuel-Ealeh</cp:lastModifiedBy>
  <cp:revision>2</cp:revision>
  <dcterms:created xsi:type="dcterms:W3CDTF">2017-10-30T17:33:00Z</dcterms:created>
  <dcterms:modified xsi:type="dcterms:W3CDTF">2017-10-30T17:33:00Z</dcterms:modified>
</cp:coreProperties>
</file>