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6DD75" w14:textId="105EBAFC" w:rsidR="00AB5800" w:rsidRDefault="00AB5800" w:rsidP="00587034">
      <w:pPr>
        <w:spacing w:after="0" w:line="240" w:lineRule="auto"/>
        <w:jc w:val="both"/>
        <w:rPr>
          <w:b/>
          <w:sz w:val="28"/>
          <w:szCs w:val="26"/>
        </w:rPr>
      </w:pPr>
      <w:bookmarkStart w:id="0" w:name="_Hlk496108008"/>
      <w:bookmarkStart w:id="1" w:name="_GoBack"/>
      <w:r>
        <w:rPr>
          <w:b/>
          <w:noProof/>
          <w:sz w:val="28"/>
          <w:szCs w:val="26"/>
        </w:rPr>
        <w:drawing>
          <wp:inline distT="0" distB="0" distL="0" distR="0" wp14:anchorId="6CBC6831" wp14:editId="2A977B37">
            <wp:extent cx="2960977" cy="9537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CE_Logo_English_RGB_onwhite-05.jpg"/>
                    <pic:cNvPicPr/>
                  </pic:nvPicPr>
                  <pic:blipFill rotWithShape="1">
                    <a:blip r:embed="rId8" cstate="print">
                      <a:extLst>
                        <a:ext uri="{28A0092B-C50C-407E-A947-70E740481C1C}">
                          <a14:useLocalDpi xmlns:a14="http://schemas.microsoft.com/office/drawing/2010/main" val="0"/>
                        </a:ext>
                      </a:extLst>
                    </a:blip>
                    <a:srcRect l="4767"/>
                    <a:stretch/>
                  </pic:blipFill>
                  <pic:spPr bwMode="auto">
                    <a:xfrm>
                      <a:off x="0" y="0"/>
                      <a:ext cx="2989273" cy="962884"/>
                    </a:xfrm>
                    <a:prstGeom prst="rect">
                      <a:avLst/>
                    </a:prstGeom>
                    <a:ln>
                      <a:noFill/>
                    </a:ln>
                    <a:extLst>
                      <a:ext uri="{53640926-AAD7-44D8-BBD7-CCE9431645EC}">
                        <a14:shadowObscured xmlns:a14="http://schemas.microsoft.com/office/drawing/2010/main"/>
                      </a:ext>
                    </a:extLst>
                  </pic:spPr>
                </pic:pic>
              </a:graphicData>
            </a:graphic>
          </wp:inline>
        </w:drawing>
      </w:r>
      <w:r w:rsidR="00587034">
        <w:rPr>
          <w:b/>
          <w:sz w:val="28"/>
          <w:szCs w:val="26"/>
        </w:rPr>
        <w:tab/>
      </w:r>
      <w:r w:rsidR="00587034">
        <w:rPr>
          <w:b/>
          <w:sz w:val="28"/>
          <w:szCs w:val="26"/>
        </w:rPr>
        <w:tab/>
      </w:r>
      <w:r w:rsidR="00587034">
        <w:rPr>
          <w:b/>
          <w:sz w:val="28"/>
          <w:szCs w:val="26"/>
        </w:rPr>
        <w:tab/>
        <w:t xml:space="preserve">     </w:t>
      </w:r>
      <w:r w:rsidR="00587034">
        <w:rPr>
          <w:b/>
          <w:sz w:val="28"/>
          <w:szCs w:val="26"/>
        </w:rPr>
        <w:tab/>
        <w:t xml:space="preserve">          </w:t>
      </w:r>
      <w:r w:rsidR="00587034">
        <w:rPr>
          <w:b/>
          <w:noProof/>
          <w:sz w:val="28"/>
          <w:szCs w:val="26"/>
        </w:rPr>
        <w:drawing>
          <wp:inline distT="0" distB="0" distL="0" distR="0" wp14:anchorId="4695FD50" wp14:editId="55C75ABE">
            <wp:extent cx="1283148" cy="12877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TF - EDUCATION NOW ENG.jpg"/>
                    <pic:cNvPicPr/>
                  </pic:nvPicPr>
                  <pic:blipFill rotWithShape="1">
                    <a:blip r:embed="rId9" cstate="print">
                      <a:extLst>
                        <a:ext uri="{28A0092B-C50C-407E-A947-70E740481C1C}">
                          <a14:useLocalDpi xmlns:a14="http://schemas.microsoft.com/office/drawing/2010/main" val="0"/>
                        </a:ext>
                      </a:extLst>
                    </a:blip>
                    <a:srcRect l="8908" t="19424" r="54266" b="28147"/>
                    <a:stretch/>
                  </pic:blipFill>
                  <pic:spPr bwMode="auto">
                    <a:xfrm>
                      <a:off x="0" y="0"/>
                      <a:ext cx="1289187" cy="1293841"/>
                    </a:xfrm>
                    <a:prstGeom prst="rect">
                      <a:avLst/>
                    </a:prstGeom>
                    <a:ln>
                      <a:noFill/>
                    </a:ln>
                    <a:extLst>
                      <a:ext uri="{53640926-AAD7-44D8-BBD7-CCE9431645EC}">
                        <a14:shadowObscured xmlns:a14="http://schemas.microsoft.com/office/drawing/2010/main"/>
                      </a:ext>
                    </a:extLst>
                  </pic:spPr>
                </pic:pic>
              </a:graphicData>
            </a:graphic>
          </wp:inline>
        </w:drawing>
      </w:r>
    </w:p>
    <w:p w14:paraId="66ACF40A" w14:textId="77777777" w:rsidR="00AB5800" w:rsidRDefault="00AB5800" w:rsidP="00597A07">
      <w:pPr>
        <w:spacing w:after="0" w:line="240" w:lineRule="auto"/>
        <w:jc w:val="both"/>
        <w:rPr>
          <w:b/>
          <w:sz w:val="28"/>
          <w:szCs w:val="26"/>
        </w:rPr>
      </w:pPr>
    </w:p>
    <w:p w14:paraId="5828B7E0" w14:textId="440AA01B" w:rsidR="00597A07" w:rsidRPr="00B726B4" w:rsidRDefault="001846B9" w:rsidP="00597A07">
      <w:pPr>
        <w:spacing w:after="0" w:line="240" w:lineRule="auto"/>
        <w:jc w:val="both"/>
        <w:rPr>
          <w:b/>
          <w:sz w:val="30"/>
          <w:szCs w:val="30"/>
        </w:rPr>
      </w:pPr>
      <w:r w:rsidRPr="00B726B4">
        <w:rPr>
          <w:b/>
          <w:sz w:val="30"/>
          <w:szCs w:val="30"/>
        </w:rPr>
        <w:t xml:space="preserve">Fund the Future: Funding the Global Partnership for Education </w:t>
      </w:r>
    </w:p>
    <w:bookmarkEnd w:id="0"/>
    <w:p w14:paraId="37CF7678" w14:textId="409E486F" w:rsidR="00BB1467" w:rsidRDefault="00BB1467" w:rsidP="00CC4304">
      <w:pPr>
        <w:spacing w:after="0" w:line="240" w:lineRule="auto"/>
        <w:jc w:val="both"/>
        <w:rPr>
          <w:b/>
          <w:sz w:val="28"/>
          <w:szCs w:val="26"/>
        </w:rPr>
      </w:pPr>
    </w:p>
    <w:p w14:paraId="0B3DDE07" w14:textId="58517FED" w:rsidR="00CC4304" w:rsidRDefault="001846B9" w:rsidP="00CC4304">
      <w:pPr>
        <w:spacing w:after="0" w:line="240" w:lineRule="auto"/>
        <w:jc w:val="both"/>
        <w:rPr>
          <w:rFonts w:cstheme="minorHAnsi"/>
          <w:b/>
          <w:color w:val="000000"/>
        </w:rPr>
      </w:pPr>
      <w:r w:rsidRPr="00E431C9">
        <w:rPr>
          <w:b/>
          <w:sz w:val="28"/>
          <w:szCs w:val="26"/>
        </w:rPr>
        <w:t>GCE BR</w:t>
      </w:r>
      <w:r w:rsidR="002E65C5">
        <w:rPr>
          <w:b/>
          <w:sz w:val="28"/>
          <w:szCs w:val="26"/>
        </w:rPr>
        <w:t>I</w:t>
      </w:r>
      <w:r w:rsidRPr="00E431C9">
        <w:rPr>
          <w:b/>
          <w:sz w:val="28"/>
          <w:szCs w:val="26"/>
        </w:rPr>
        <w:t>EFING PAPER</w:t>
      </w:r>
    </w:p>
    <w:p w14:paraId="3394226F" w14:textId="7342744F" w:rsidR="005F2632" w:rsidRDefault="005F2632" w:rsidP="0038652B">
      <w:pPr>
        <w:spacing w:after="0" w:line="240" w:lineRule="auto"/>
        <w:jc w:val="both"/>
        <w:rPr>
          <w:rFonts w:cstheme="minorHAnsi"/>
          <w:b/>
          <w:color w:val="000000"/>
        </w:rPr>
      </w:pPr>
    </w:p>
    <w:p w14:paraId="56BC25D3" w14:textId="542934D4" w:rsidR="00CC4304" w:rsidRPr="00CC4304" w:rsidRDefault="00CC4304" w:rsidP="00597A07">
      <w:pPr>
        <w:spacing w:after="0" w:line="240" w:lineRule="auto"/>
        <w:jc w:val="both"/>
        <w:rPr>
          <w:rFonts w:cstheme="minorHAnsi"/>
          <w:b/>
          <w:i/>
          <w:color w:val="000000"/>
        </w:rPr>
      </w:pPr>
      <w:r w:rsidRPr="00EF4163">
        <w:rPr>
          <w:rFonts w:cstheme="minorHAnsi"/>
          <w:b/>
          <w:color w:val="000000"/>
        </w:rPr>
        <w:t xml:space="preserve">EDUCATION IN CRISIS </w:t>
      </w:r>
    </w:p>
    <w:p w14:paraId="0F0E440D" w14:textId="0E17BC2A" w:rsidR="0038652B" w:rsidRPr="00EF4163" w:rsidRDefault="00FB7D11" w:rsidP="00FB7D11">
      <w:pPr>
        <w:spacing w:after="0" w:line="240" w:lineRule="auto"/>
        <w:jc w:val="both"/>
        <w:rPr>
          <w:rFonts w:cstheme="minorHAnsi"/>
        </w:rPr>
      </w:pPr>
      <w:r w:rsidRPr="00EF4163">
        <w:rPr>
          <w:rFonts w:cstheme="minorHAnsi"/>
        </w:rPr>
        <w:t>I</w:t>
      </w:r>
      <w:r w:rsidR="008440B3" w:rsidRPr="00EF4163">
        <w:rPr>
          <w:rFonts w:cstheme="minorHAnsi"/>
        </w:rPr>
        <w:t>n 2015</w:t>
      </w:r>
      <w:r w:rsidR="008440B3" w:rsidRPr="00EF4163">
        <w:rPr>
          <w:rFonts w:cstheme="minorHAnsi"/>
          <w:color w:val="000000"/>
        </w:rPr>
        <w:t xml:space="preserve">, world leaders committed </w:t>
      </w:r>
      <w:r w:rsidR="008440B3" w:rsidRPr="00EF4163">
        <w:rPr>
          <w:rFonts w:cstheme="minorHAnsi"/>
        </w:rPr>
        <w:t xml:space="preserve">to ensure inclusive and equitable quality education and promote lifelong learning opportunities for all by 2030 through the </w:t>
      </w:r>
      <w:r w:rsidR="00597A07" w:rsidRPr="00EF4163">
        <w:rPr>
          <w:rFonts w:cstheme="minorHAnsi"/>
          <w:color w:val="000000"/>
        </w:rPr>
        <w:t xml:space="preserve">Sustainable Development Goal 4 (SD4). </w:t>
      </w:r>
      <w:r w:rsidR="00597A07" w:rsidRPr="00EF4163">
        <w:rPr>
          <w:rFonts w:cstheme="minorHAnsi"/>
        </w:rPr>
        <w:t>T</w:t>
      </w:r>
      <w:r w:rsidR="008440B3" w:rsidRPr="00EF4163">
        <w:rPr>
          <w:rFonts w:cstheme="minorHAnsi"/>
        </w:rPr>
        <w:t>he Education 2030 Incheon Declaration and Framework for Action</w:t>
      </w:r>
      <w:r w:rsidR="00597A07" w:rsidRPr="00EF4163">
        <w:rPr>
          <w:rFonts w:cstheme="minorHAnsi"/>
        </w:rPr>
        <w:t>, further elaborated the framework for operationalising SDG4</w:t>
      </w:r>
      <w:r w:rsidR="008440B3" w:rsidRPr="00EF4163">
        <w:rPr>
          <w:rFonts w:cstheme="minorHAnsi"/>
        </w:rPr>
        <w:t>.</w:t>
      </w:r>
      <w:r w:rsidR="0038652B" w:rsidRPr="00EF4163">
        <w:rPr>
          <w:rStyle w:val="EndnoteReference"/>
          <w:rFonts w:cstheme="minorHAnsi"/>
        </w:rPr>
        <w:endnoteReference w:id="1"/>
      </w:r>
      <w:r w:rsidR="0038652B" w:rsidRPr="00EF4163">
        <w:rPr>
          <w:rFonts w:cstheme="minorHAnsi"/>
          <w:color w:val="000000"/>
        </w:rPr>
        <w:t xml:space="preserve"> Together, they set ambitious targets to ensure free, inclusive, equitable, quality </w:t>
      </w:r>
      <w:r w:rsidR="0038652B">
        <w:rPr>
          <w:rFonts w:cstheme="minorHAnsi"/>
          <w:color w:val="000000"/>
        </w:rPr>
        <w:t xml:space="preserve">public </w:t>
      </w:r>
      <w:r w:rsidR="0038652B" w:rsidRPr="00EF4163">
        <w:rPr>
          <w:rFonts w:cstheme="minorHAnsi"/>
          <w:color w:val="000000"/>
        </w:rPr>
        <w:t xml:space="preserve">education, and promote lifelong learning opportunities for all. </w:t>
      </w:r>
    </w:p>
    <w:p w14:paraId="3626BD86" w14:textId="77777777" w:rsidR="0038652B" w:rsidRPr="00EF4163" w:rsidRDefault="0038652B" w:rsidP="00FB7D11">
      <w:pPr>
        <w:spacing w:after="0" w:line="240" w:lineRule="auto"/>
        <w:jc w:val="both"/>
        <w:rPr>
          <w:rFonts w:cstheme="minorHAnsi"/>
          <w:color w:val="000000"/>
        </w:rPr>
      </w:pPr>
    </w:p>
    <w:p w14:paraId="493D3AA8" w14:textId="04616759" w:rsidR="00BB1467" w:rsidRDefault="0038652B" w:rsidP="00966D78">
      <w:pPr>
        <w:spacing w:after="0" w:line="240" w:lineRule="auto"/>
        <w:jc w:val="both"/>
      </w:pPr>
      <w:r w:rsidRPr="00EF4163">
        <w:t xml:space="preserve">Two years into implementation of the SDG </w:t>
      </w:r>
      <w:r w:rsidRPr="00506195">
        <w:t xml:space="preserve">framework, the world is far from making the kind of rapid and ambitious headway required to meet these goals.  </w:t>
      </w:r>
      <w:r w:rsidRPr="0038652B">
        <w:rPr>
          <w:rFonts w:cstheme="minorHAnsi"/>
        </w:rPr>
        <w:t>There are 264 million children and youth out of school.</w:t>
      </w:r>
      <w:r w:rsidRPr="0038652B">
        <w:rPr>
          <w:rFonts w:cstheme="minorHAnsi"/>
          <w:vertAlign w:val="superscript"/>
        </w:rPr>
        <w:endnoteReference w:id="2"/>
      </w:r>
      <w:r w:rsidR="00BC34D7">
        <w:rPr>
          <w:rFonts w:cstheme="minorHAnsi"/>
        </w:rPr>
        <w:t xml:space="preserve"> </w:t>
      </w:r>
      <w:r w:rsidRPr="0038652B">
        <w:rPr>
          <w:rFonts w:cstheme="minorHAnsi"/>
        </w:rPr>
        <w:t>On current trends, the world will be half a century late in meeting the 2030 SDG deadline for all children to be in school</w:t>
      </w:r>
      <w:r w:rsidRPr="0038652B">
        <w:rPr>
          <w:rFonts w:cstheme="minorHAnsi"/>
          <w:vertAlign w:val="superscript"/>
        </w:rPr>
        <w:t>.</w:t>
      </w:r>
      <w:r w:rsidRPr="0038652B">
        <w:rPr>
          <w:rFonts w:cstheme="minorHAnsi"/>
          <w:vertAlign w:val="superscript"/>
        </w:rPr>
        <w:endnoteReference w:id="3"/>
      </w:r>
      <w:r w:rsidRPr="0038652B">
        <w:rPr>
          <w:rFonts w:cstheme="minorHAnsi"/>
          <w:vertAlign w:val="superscript"/>
        </w:rPr>
        <w:t xml:space="preserve"> </w:t>
      </w:r>
      <w:r w:rsidRPr="007E08F1">
        <w:rPr>
          <w:rFonts w:cstheme="minorHAnsi"/>
          <w:color w:val="3B3938"/>
          <w:shd w:val="clear" w:color="auto" w:fill="FFFFFF"/>
        </w:rPr>
        <w:t xml:space="preserve"> </w:t>
      </w:r>
      <w:r w:rsidR="00BC34D7">
        <w:rPr>
          <w:rFonts w:cstheme="minorHAnsi"/>
          <w:color w:val="3B3938"/>
          <w:shd w:val="clear" w:color="auto" w:fill="FFFFFF"/>
        </w:rPr>
        <w:t xml:space="preserve">What’s more, rather than making progress, </w:t>
      </w:r>
      <w:r w:rsidR="00BC34D7">
        <w:t>t</w:t>
      </w:r>
      <w:r w:rsidR="00BB1467">
        <w:t>he out-of-s</w:t>
      </w:r>
      <w:r w:rsidR="00BC34D7">
        <w:t>chool rate is currently at a virtual stand-still</w:t>
      </w:r>
      <w:r w:rsidR="00BB1467">
        <w:t>.</w:t>
      </w:r>
      <w:r w:rsidR="00BB1467">
        <w:rPr>
          <w:rStyle w:val="EndnoteReference"/>
        </w:rPr>
        <w:endnoteReference w:id="4"/>
      </w:r>
      <w:r w:rsidR="00BB1467">
        <w:t xml:space="preserve"> </w:t>
      </w:r>
      <w:r w:rsidRPr="007E08F1">
        <w:rPr>
          <w:rFonts w:cstheme="minorHAnsi"/>
          <w:color w:val="3B3938"/>
          <w:shd w:val="clear" w:color="auto" w:fill="FFFFFF"/>
        </w:rPr>
        <w:t>W</w:t>
      </w:r>
      <w:r w:rsidRPr="0038652B">
        <w:rPr>
          <w:rFonts w:cstheme="minorHAnsi"/>
        </w:rPr>
        <w:t>ithout urgent change,</w:t>
      </w:r>
      <w:r w:rsidRPr="007E08F1">
        <w:rPr>
          <w:rFonts w:cstheme="minorHAnsi"/>
          <w:color w:val="3B3938"/>
          <w:shd w:val="clear" w:color="auto" w:fill="FFFFFF"/>
        </w:rPr>
        <w:t xml:space="preserve"> </w:t>
      </w:r>
      <w:r w:rsidRPr="0038652B">
        <w:rPr>
          <w:rFonts w:cstheme="minorHAnsi"/>
          <w:color w:val="3B3938"/>
          <w:shd w:val="clear" w:color="auto" w:fill="FFFFFF"/>
        </w:rPr>
        <w:t xml:space="preserve">globally, </w:t>
      </w:r>
      <w:r w:rsidRPr="0038652B">
        <w:rPr>
          <w:rFonts w:cstheme="minorHAnsi"/>
        </w:rPr>
        <w:t>more than 1.5 billion adults will have no education beyond primary school</w:t>
      </w:r>
      <w:r w:rsidR="00D32229">
        <w:rPr>
          <w:rFonts w:cstheme="minorHAnsi"/>
        </w:rPr>
        <w:t xml:space="preserve"> </w:t>
      </w:r>
      <w:r w:rsidRPr="000C4D26">
        <w:rPr>
          <w:rFonts w:cstheme="minorHAnsi"/>
        </w:rPr>
        <w:t>in 2030</w:t>
      </w:r>
      <w:r w:rsidRPr="0038652B">
        <w:rPr>
          <w:rFonts w:cstheme="minorHAnsi"/>
        </w:rPr>
        <w:t>.</w:t>
      </w:r>
      <w:r w:rsidRPr="0038652B">
        <w:rPr>
          <w:rStyle w:val="EndnoteReference"/>
          <w:rFonts w:cstheme="minorHAnsi"/>
        </w:rPr>
        <w:endnoteReference w:id="5"/>
      </w:r>
      <w:r>
        <w:t xml:space="preserve"> </w:t>
      </w:r>
    </w:p>
    <w:p w14:paraId="1579AF33" w14:textId="77777777" w:rsidR="00BB1467" w:rsidRDefault="00BB1467" w:rsidP="00966D78">
      <w:pPr>
        <w:spacing w:after="0" w:line="240" w:lineRule="auto"/>
        <w:jc w:val="both"/>
      </w:pPr>
    </w:p>
    <w:p w14:paraId="0CE4D448" w14:textId="7C870EB8" w:rsidR="0038652B" w:rsidRPr="007E08F1" w:rsidRDefault="0038652B" w:rsidP="00966D78">
      <w:pPr>
        <w:spacing w:after="0" w:line="240" w:lineRule="auto"/>
        <w:jc w:val="both"/>
        <w:rPr>
          <w:rFonts w:cstheme="minorHAnsi"/>
          <w:color w:val="222222"/>
        </w:rPr>
      </w:pPr>
      <w:r w:rsidRPr="00EF4163">
        <w:rPr>
          <w:rFonts w:cstheme="minorHAnsi"/>
          <w:color w:val="222222"/>
        </w:rPr>
        <w:t>This is a crisis of access to education, but there is also a crisis in learning. 617 million children and adolescents – 6 out of 10 children and adolescents - are failing to learn a minimum in reading and mathematics.</w:t>
      </w:r>
      <w:r>
        <w:rPr>
          <w:rFonts w:cstheme="minorHAnsi"/>
          <w:color w:val="222222"/>
        </w:rPr>
        <w:t xml:space="preserve"> </w:t>
      </w:r>
      <w:r w:rsidRPr="00EF4163">
        <w:rPr>
          <w:rFonts w:cstheme="minorHAnsi"/>
          <w:color w:val="222222"/>
        </w:rPr>
        <w:t>Two-thirds of these children are in school: a devastating indictment of the quality of many education systems.</w:t>
      </w:r>
      <w:r w:rsidRPr="00EF4163">
        <w:rPr>
          <w:rStyle w:val="EndnoteReference"/>
          <w:rFonts w:cstheme="minorHAnsi"/>
          <w:color w:val="000000"/>
        </w:rPr>
        <w:endnoteReference w:id="6"/>
      </w:r>
      <w:r w:rsidRPr="00EF4163">
        <w:rPr>
          <w:rFonts w:cstheme="minorHAnsi"/>
          <w:color w:val="000000"/>
        </w:rPr>
        <w:t xml:space="preserve"> </w:t>
      </w:r>
      <w:r w:rsidR="00D32229" w:rsidRPr="000C4D26">
        <w:rPr>
          <w:rFonts w:cstheme="minorHAnsi"/>
          <w:color w:val="3B3938"/>
          <w:shd w:val="clear" w:color="auto" w:fill="FFFFFF"/>
        </w:rPr>
        <w:t xml:space="preserve"> </w:t>
      </w:r>
      <w:r w:rsidR="00D32229">
        <w:rPr>
          <w:rFonts w:cstheme="minorHAnsi"/>
          <w:color w:val="3B3938"/>
          <w:shd w:val="clear" w:color="auto" w:fill="FFFFFF"/>
        </w:rPr>
        <w:t>On current trends, l</w:t>
      </w:r>
      <w:r w:rsidR="00D32229" w:rsidRPr="000C4D26">
        <w:rPr>
          <w:rFonts w:cstheme="minorHAnsi"/>
          <w:color w:val="3B3938"/>
          <w:shd w:val="clear" w:color="auto" w:fill="FFFFFF"/>
        </w:rPr>
        <w:t xml:space="preserve">ess than 10% of young people in low-income countries will be </w:t>
      </w:r>
      <w:r w:rsidR="00D32229" w:rsidRPr="0038652B">
        <w:rPr>
          <w:rFonts w:cstheme="minorHAnsi"/>
          <w:color w:val="3B3938"/>
          <w:shd w:val="clear" w:color="auto" w:fill="FFFFFF"/>
        </w:rPr>
        <w:t xml:space="preserve">have </w:t>
      </w:r>
      <w:r w:rsidR="008B7274">
        <w:rPr>
          <w:rFonts w:cstheme="minorHAnsi"/>
          <w:color w:val="3B3938"/>
          <w:shd w:val="clear" w:color="auto" w:fill="FFFFFF"/>
        </w:rPr>
        <w:t xml:space="preserve">learnt </w:t>
      </w:r>
      <w:r w:rsidR="00D32229" w:rsidRPr="000C4D26">
        <w:rPr>
          <w:rFonts w:cstheme="minorHAnsi"/>
          <w:color w:val="3B3938"/>
          <w:shd w:val="clear" w:color="auto" w:fill="FFFFFF"/>
        </w:rPr>
        <w:t>basic secondary level skills</w:t>
      </w:r>
      <w:r w:rsidR="00D32229">
        <w:rPr>
          <w:rFonts w:cstheme="minorHAnsi"/>
          <w:color w:val="3B3938"/>
          <w:shd w:val="clear" w:color="auto" w:fill="FFFFFF"/>
        </w:rPr>
        <w:t xml:space="preserve"> in 2030.</w:t>
      </w:r>
      <w:r w:rsidR="008B7274">
        <w:rPr>
          <w:rStyle w:val="EndnoteReference"/>
          <w:rFonts w:cstheme="minorHAnsi"/>
          <w:color w:val="3B3938"/>
          <w:shd w:val="clear" w:color="auto" w:fill="FFFFFF"/>
        </w:rPr>
        <w:endnoteReference w:id="7"/>
      </w:r>
      <w:r w:rsidR="00D32229">
        <w:rPr>
          <w:rFonts w:cstheme="minorHAnsi"/>
          <w:color w:val="3B3938"/>
          <w:shd w:val="clear" w:color="auto" w:fill="FFFFFF"/>
        </w:rPr>
        <w:t xml:space="preserve"> </w:t>
      </w:r>
      <w:r w:rsidRPr="00EF4163">
        <w:rPr>
          <w:rFonts w:cstheme="minorHAnsi"/>
        </w:rPr>
        <w:t>A lack of quality educational opportunities also contributes to the 750 million adults – almost two thirds of whom are women – unable to read or write.</w:t>
      </w:r>
      <w:r w:rsidRPr="00EF4163">
        <w:rPr>
          <w:rStyle w:val="EndnoteReference"/>
          <w:rFonts w:cstheme="minorHAnsi"/>
        </w:rPr>
        <w:endnoteReference w:id="8"/>
      </w:r>
      <w:r w:rsidRPr="00EF4163">
        <w:rPr>
          <w:rFonts w:cstheme="minorHAnsi"/>
        </w:rPr>
        <w:t xml:space="preserve"> </w:t>
      </w:r>
    </w:p>
    <w:p w14:paraId="4385A26D" w14:textId="77777777" w:rsidR="0038652B" w:rsidRPr="00EF4163" w:rsidRDefault="0038652B" w:rsidP="007E08F1">
      <w:pPr>
        <w:tabs>
          <w:tab w:val="left" w:pos="1560"/>
        </w:tabs>
        <w:spacing w:after="0" w:line="240" w:lineRule="auto"/>
        <w:jc w:val="both"/>
        <w:rPr>
          <w:rFonts w:cstheme="minorHAnsi"/>
        </w:rPr>
      </w:pPr>
    </w:p>
    <w:p w14:paraId="370D439D" w14:textId="721F0455" w:rsidR="0038652B" w:rsidRPr="00EF4163" w:rsidRDefault="0038652B" w:rsidP="00D7472C">
      <w:pPr>
        <w:spacing w:after="0" w:line="240" w:lineRule="auto"/>
        <w:jc w:val="both"/>
        <w:rPr>
          <w:rFonts w:cstheme="minorHAnsi"/>
        </w:rPr>
      </w:pPr>
      <w:r w:rsidRPr="00EF4163">
        <w:rPr>
          <w:rFonts w:cstheme="minorHAnsi"/>
        </w:rPr>
        <w:t>These twin crises disproportionately impact low-income families, ch</w:t>
      </w:r>
      <w:r>
        <w:rPr>
          <w:rFonts w:cstheme="minorHAnsi"/>
        </w:rPr>
        <w:t>ildren with disabilities,</w:t>
      </w:r>
      <w:r w:rsidRPr="00EF4163">
        <w:rPr>
          <w:rFonts w:cstheme="minorHAnsi"/>
        </w:rPr>
        <w:t xml:space="preserve"> minority</w:t>
      </w:r>
      <w:r>
        <w:rPr>
          <w:rFonts w:cstheme="minorHAnsi"/>
        </w:rPr>
        <w:t xml:space="preserve"> ethnic</w:t>
      </w:r>
      <w:r w:rsidRPr="00EF4163">
        <w:rPr>
          <w:rFonts w:cstheme="minorHAnsi"/>
        </w:rPr>
        <w:t xml:space="preserve"> groups, </w:t>
      </w:r>
      <w:r>
        <w:rPr>
          <w:rFonts w:cstheme="minorHAnsi"/>
        </w:rPr>
        <w:t xml:space="preserve">those affected by conflict, </w:t>
      </w:r>
      <w:r w:rsidRPr="00EF4163">
        <w:rPr>
          <w:rFonts w:cstheme="minorHAnsi"/>
        </w:rPr>
        <w:t>refug</w:t>
      </w:r>
      <w:r>
        <w:rPr>
          <w:rFonts w:cstheme="minorHAnsi"/>
        </w:rPr>
        <w:t xml:space="preserve">ees, </w:t>
      </w:r>
      <w:r w:rsidRPr="00EF4163">
        <w:rPr>
          <w:rFonts w:cstheme="minorHAnsi"/>
        </w:rPr>
        <w:t>migrants</w:t>
      </w:r>
      <w:r>
        <w:rPr>
          <w:rFonts w:cstheme="minorHAnsi"/>
        </w:rPr>
        <w:t>, girls and women</w:t>
      </w:r>
      <w:r w:rsidR="008B7274">
        <w:rPr>
          <w:rFonts w:cstheme="minorHAnsi"/>
        </w:rPr>
        <w:t>; a</w:t>
      </w:r>
      <w:r w:rsidRPr="00EF4163">
        <w:rPr>
          <w:rFonts w:cstheme="minorHAnsi"/>
        </w:rPr>
        <w:t>ll too often, those al</w:t>
      </w:r>
      <w:r w:rsidR="008B7274">
        <w:rPr>
          <w:rFonts w:cstheme="minorHAnsi"/>
        </w:rPr>
        <w:t xml:space="preserve">ready facing discrimination and </w:t>
      </w:r>
      <w:r w:rsidRPr="00EF4163">
        <w:rPr>
          <w:rFonts w:cstheme="minorHAnsi"/>
        </w:rPr>
        <w:t>di</w:t>
      </w:r>
      <w:r w:rsidR="008B7274">
        <w:rPr>
          <w:rFonts w:cstheme="minorHAnsi"/>
        </w:rPr>
        <w:t xml:space="preserve">sadvantage, </w:t>
      </w:r>
      <w:r w:rsidRPr="00EF4163">
        <w:rPr>
          <w:rFonts w:cstheme="minorHAnsi"/>
        </w:rPr>
        <w:t xml:space="preserve">further </w:t>
      </w:r>
      <w:r w:rsidR="008B7274" w:rsidRPr="00EF4163">
        <w:rPr>
          <w:rFonts w:cstheme="minorHAnsi"/>
        </w:rPr>
        <w:t>deepen</w:t>
      </w:r>
      <w:r w:rsidR="008B7274">
        <w:rPr>
          <w:rFonts w:cstheme="minorHAnsi"/>
        </w:rPr>
        <w:t>ing</w:t>
      </w:r>
      <w:r w:rsidRPr="00EF4163">
        <w:rPr>
          <w:rFonts w:cstheme="minorHAnsi"/>
        </w:rPr>
        <w:t xml:space="preserve"> a profound sense of marginalisation</w:t>
      </w:r>
      <w:r w:rsidR="00BC34D7">
        <w:rPr>
          <w:rFonts w:cstheme="minorHAnsi"/>
        </w:rPr>
        <w:t xml:space="preserve"> and rising inequality</w:t>
      </w:r>
      <w:r w:rsidRPr="00EF4163">
        <w:rPr>
          <w:rFonts w:cstheme="minorHAnsi"/>
        </w:rPr>
        <w:t xml:space="preserve">. </w:t>
      </w:r>
    </w:p>
    <w:p w14:paraId="29345320" w14:textId="77777777" w:rsidR="00AB4474" w:rsidRDefault="00AB4474" w:rsidP="00903878">
      <w:pPr>
        <w:spacing w:after="0" w:line="240" w:lineRule="auto"/>
        <w:jc w:val="both"/>
        <w:rPr>
          <w:rFonts w:cstheme="minorHAnsi"/>
        </w:rPr>
      </w:pPr>
      <w:bookmarkStart w:id="3" w:name="_Hlk493181295"/>
    </w:p>
    <w:p w14:paraId="1AA73229" w14:textId="4FE12A9D" w:rsidR="0038652B" w:rsidRPr="005F2632" w:rsidRDefault="001E5508" w:rsidP="00903878">
      <w:pPr>
        <w:spacing w:after="0" w:line="240" w:lineRule="auto"/>
        <w:jc w:val="both"/>
        <w:rPr>
          <w:rFonts w:cstheme="minorHAnsi"/>
          <w:b/>
        </w:rPr>
      </w:pPr>
      <w:r>
        <w:rPr>
          <w:rFonts w:cstheme="minorHAnsi"/>
          <w:b/>
        </w:rPr>
        <w:t>INVESTMENT IN E</w:t>
      </w:r>
      <w:r w:rsidR="0038652B" w:rsidRPr="005F2632">
        <w:rPr>
          <w:rFonts w:cstheme="minorHAnsi"/>
          <w:b/>
        </w:rPr>
        <w:t xml:space="preserve">DUCATION </w:t>
      </w:r>
      <w:r>
        <w:rPr>
          <w:rFonts w:cstheme="minorHAnsi"/>
          <w:b/>
        </w:rPr>
        <w:t>IS AN INVESTMENT IN A BETTER FUTURE</w:t>
      </w:r>
    </w:p>
    <w:p w14:paraId="664C1CE0" w14:textId="77777777" w:rsidR="001E5508" w:rsidRPr="006E5AC7" w:rsidRDefault="001E5508" w:rsidP="001E5508">
      <w:pPr>
        <w:jc w:val="both"/>
      </w:pPr>
      <w:bookmarkStart w:id="4" w:name="_Hlk496178544"/>
      <w:bookmarkEnd w:id="3"/>
      <w:r w:rsidRPr="006E5AC7">
        <w:t>The crisis in education cannot be allowed to continue: education is the answer to many of the problems faced in the world today. Education is also a fundamental human right. </w:t>
      </w:r>
    </w:p>
    <w:p w14:paraId="10FC9F16" w14:textId="2A9EB873" w:rsidR="001E5508" w:rsidRPr="006E5AC7" w:rsidRDefault="001E5508" w:rsidP="001E5508">
      <w:pPr>
        <w:jc w:val="both"/>
      </w:pPr>
      <w:r w:rsidRPr="006E5AC7">
        <w:t>The case for investing in education is unquestionable. Education is critical for long-term economic growth and fighting poverty. Education provides the skills that boost employment opportunities and incomes</w:t>
      </w:r>
      <w:r w:rsidR="003A659D">
        <w:t>,</w:t>
      </w:r>
      <w:r w:rsidR="003A659D" w:rsidRPr="006E5AC7">
        <w:t xml:space="preserve"> </w:t>
      </w:r>
      <w:r w:rsidRPr="006E5AC7">
        <w:t xml:space="preserve">while more equitable education reduces inequality, lifting the poorest out of extreme poverty. </w:t>
      </w:r>
      <w:r>
        <w:t>What’s more,</w:t>
      </w:r>
      <w:r w:rsidRPr="006E5AC7">
        <w:t xml:space="preserve"> young people today face extraordinary technological and demographic change, which is reshaping the future of the global economy</w:t>
      </w:r>
      <w:r w:rsidR="008B7274">
        <w:t>.</w:t>
      </w:r>
      <w:r w:rsidRPr="006E5AC7">
        <w:t xml:space="preserve"> </w:t>
      </w:r>
      <w:r w:rsidR="008B7274">
        <w:t>I</w:t>
      </w:r>
      <w:r w:rsidRPr="006E5AC7">
        <w:t>nvestment in today’s young citizens is vital to a nation</w:t>
      </w:r>
      <w:r>
        <w:t>’</w:t>
      </w:r>
      <w:r w:rsidRPr="006E5AC7">
        <w:t xml:space="preserve">s future wealth. </w:t>
      </w:r>
    </w:p>
    <w:p w14:paraId="466FBD13" w14:textId="2616DDCF" w:rsidR="001E5508" w:rsidRDefault="001E5508" w:rsidP="001E5508">
      <w:pPr>
        <w:jc w:val="both"/>
      </w:pPr>
      <w:r w:rsidRPr="006E5AC7">
        <w:t xml:space="preserve">Investment in SDG4 is also a proven enabler of the whole sustainable development agenda. </w:t>
      </w:r>
      <w:r>
        <w:t>It can</w:t>
      </w:r>
      <w:r w:rsidRPr="006E5AC7">
        <w:t xml:space="preserve"> improve long-term health benefits, ensu</w:t>
      </w:r>
      <w:r>
        <w:t>re greater gender equality,</w:t>
      </w:r>
      <w:r w:rsidRPr="006E5AC7">
        <w:t xml:space="preserve"> promote democratic governance</w:t>
      </w:r>
      <w:r>
        <w:t>, foster more sustainable livelihoods, and tackle environmental degradation</w:t>
      </w:r>
      <w:r w:rsidRPr="006E5AC7">
        <w:t>.</w:t>
      </w:r>
      <w:r w:rsidRPr="006E5AC7">
        <w:rPr>
          <w:vertAlign w:val="superscript"/>
        </w:rPr>
        <w:endnoteReference w:id="9"/>
      </w:r>
      <w:r w:rsidRPr="006E5AC7">
        <w:t xml:space="preserve"> </w:t>
      </w:r>
    </w:p>
    <w:p w14:paraId="27ADC45E" w14:textId="47F66289" w:rsidR="00DA6202" w:rsidRDefault="001E5508" w:rsidP="00B726B4">
      <w:pPr>
        <w:jc w:val="both"/>
      </w:pPr>
      <w:r w:rsidRPr="006E5AC7">
        <w:t xml:space="preserve">In other words, investment in </w:t>
      </w:r>
      <w:r>
        <w:t xml:space="preserve">equitable and </w:t>
      </w:r>
      <w:r w:rsidRPr="006E5AC7">
        <w:t>quality education</w:t>
      </w:r>
      <w:r>
        <w:t xml:space="preserve"> for all,</w:t>
      </w:r>
      <w:r w:rsidRPr="006E5AC7">
        <w:t xml:space="preserve"> is a proven investment in a better tomorrow. </w:t>
      </w:r>
      <w:bookmarkEnd w:id="4"/>
    </w:p>
    <w:p w14:paraId="522F0726" w14:textId="77777777" w:rsidR="00587034" w:rsidRDefault="00587034" w:rsidP="00B726B4">
      <w:pPr>
        <w:jc w:val="both"/>
        <w:rPr>
          <w:rFonts w:cstheme="minorHAnsi"/>
          <w:b/>
          <w:sz w:val="24"/>
          <w:szCs w:val="24"/>
        </w:rPr>
      </w:pPr>
    </w:p>
    <w:p w14:paraId="01A28625" w14:textId="06A94AF8" w:rsidR="003A659D" w:rsidRPr="00367447" w:rsidRDefault="003A659D" w:rsidP="00587034">
      <w:pPr>
        <w:shd w:val="clear" w:color="auto" w:fill="C5E0B3" w:themeFill="accent6" w:themeFillTint="66"/>
        <w:rPr>
          <w:rFonts w:cstheme="minorHAnsi"/>
          <w:b/>
          <w:sz w:val="24"/>
          <w:szCs w:val="24"/>
        </w:rPr>
      </w:pPr>
      <w:r w:rsidRPr="00367447">
        <w:rPr>
          <w:rFonts w:cstheme="minorHAnsi"/>
          <w:b/>
          <w:sz w:val="24"/>
          <w:szCs w:val="24"/>
        </w:rPr>
        <w:lastRenderedPageBreak/>
        <w:t xml:space="preserve">Education is crucial to progress and prosperity: 10 key facts </w:t>
      </w:r>
    </w:p>
    <w:p w14:paraId="5F480AD8" w14:textId="77777777" w:rsidR="00DA6202" w:rsidRDefault="00DA6202" w:rsidP="00587034">
      <w:pPr>
        <w:pStyle w:val="ListParagraph"/>
        <w:numPr>
          <w:ilvl w:val="0"/>
          <w:numId w:val="28"/>
        </w:numPr>
        <w:shd w:val="clear" w:color="auto" w:fill="C5E0B3" w:themeFill="accent6" w:themeFillTint="66"/>
        <w:sectPr w:rsidR="00DA6202" w:rsidSect="00587034">
          <w:endnotePr>
            <w:numFmt w:val="decimal"/>
          </w:endnotePr>
          <w:pgSz w:w="11906" w:h="16838"/>
          <w:pgMar w:top="851" w:right="1021" w:bottom="851" w:left="1021" w:header="708" w:footer="708" w:gutter="0"/>
          <w:cols w:space="708"/>
          <w:docGrid w:linePitch="360"/>
        </w:sectPr>
      </w:pPr>
    </w:p>
    <w:p w14:paraId="17247D30" w14:textId="48EDA10B" w:rsidR="00DA6202" w:rsidRPr="00587034" w:rsidRDefault="00DA6202" w:rsidP="00587034">
      <w:pPr>
        <w:pStyle w:val="ListParagraph"/>
        <w:numPr>
          <w:ilvl w:val="0"/>
          <w:numId w:val="28"/>
        </w:numPr>
        <w:shd w:val="clear" w:color="auto" w:fill="C5E0B3" w:themeFill="accent6" w:themeFillTint="66"/>
        <w:rPr>
          <w:sz w:val="22"/>
          <w:szCs w:val="22"/>
        </w:rPr>
      </w:pPr>
      <w:r w:rsidRPr="00587034">
        <w:rPr>
          <w:sz w:val="22"/>
          <w:szCs w:val="22"/>
        </w:rPr>
        <w:t>World poverty could be cut in half if all adults completed secondary education.</w:t>
      </w:r>
      <w:r w:rsidRPr="00587034">
        <w:rPr>
          <w:rStyle w:val="FootnoteReference"/>
          <w:sz w:val="22"/>
          <w:szCs w:val="22"/>
        </w:rPr>
        <w:footnoteReference w:id="1"/>
      </w:r>
    </w:p>
    <w:p w14:paraId="6DE35DA5" w14:textId="5E840754" w:rsidR="00DA6202" w:rsidRPr="00587034" w:rsidRDefault="00DA6202" w:rsidP="00587034">
      <w:pPr>
        <w:pStyle w:val="ListParagraph"/>
        <w:numPr>
          <w:ilvl w:val="0"/>
          <w:numId w:val="28"/>
        </w:numPr>
        <w:shd w:val="clear" w:color="auto" w:fill="C5E0B3" w:themeFill="accent6" w:themeFillTint="66"/>
        <w:rPr>
          <w:sz w:val="22"/>
          <w:szCs w:val="22"/>
        </w:rPr>
      </w:pPr>
      <w:r w:rsidRPr="00587034">
        <w:rPr>
          <w:sz w:val="22"/>
          <w:szCs w:val="22"/>
        </w:rPr>
        <w:t>The cost of 250 million children not learning the basics is equivalent to a loss of US$129 billion per year.</w:t>
      </w:r>
      <w:r w:rsidRPr="00587034">
        <w:rPr>
          <w:rStyle w:val="FootnoteReference"/>
          <w:sz w:val="22"/>
          <w:szCs w:val="22"/>
        </w:rPr>
        <w:footnoteReference w:id="2"/>
      </w:r>
      <w:r w:rsidR="00173B81" w:rsidRPr="00587034">
        <w:rPr>
          <w:sz w:val="22"/>
          <w:szCs w:val="22"/>
          <w:lang w:val="en-GB"/>
        </w:rPr>
        <w:t>,</w:t>
      </w:r>
      <w:r w:rsidR="00173B81" w:rsidRPr="00587034">
        <w:rPr>
          <w:rStyle w:val="FootnoteReference"/>
          <w:sz w:val="22"/>
          <w:szCs w:val="22"/>
          <w:lang w:val="en-GB"/>
        </w:rPr>
        <w:footnoteReference w:id="3"/>
      </w:r>
    </w:p>
    <w:p w14:paraId="468C8085" w14:textId="77777777" w:rsidR="00DA6202" w:rsidRPr="00587034" w:rsidRDefault="00DA6202" w:rsidP="00587034">
      <w:pPr>
        <w:pStyle w:val="ListParagraph"/>
        <w:numPr>
          <w:ilvl w:val="0"/>
          <w:numId w:val="28"/>
        </w:numPr>
        <w:shd w:val="clear" w:color="auto" w:fill="C5E0B3" w:themeFill="accent6" w:themeFillTint="66"/>
        <w:rPr>
          <w:sz w:val="22"/>
          <w:szCs w:val="22"/>
        </w:rPr>
      </w:pPr>
      <w:r w:rsidRPr="00587034">
        <w:rPr>
          <w:sz w:val="22"/>
          <w:szCs w:val="22"/>
        </w:rPr>
        <w:t>Each additional year of schooling raises average annual gross domestic product (GDP) growth by 0.37%.</w:t>
      </w:r>
      <w:r w:rsidRPr="00587034">
        <w:rPr>
          <w:rStyle w:val="FootnoteReference"/>
          <w:sz w:val="22"/>
          <w:szCs w:val="22"/>
        </w:rPr>
        <w:footnoteReference w:id="4"/>
      </w:r>
    </w:p>
    <w:p w14:paraId="172B58A4" w14:textId="77777777" w:rsidR="00DA6202" w:rsidRPr="00587034" w:rsidRDefault="00DA6202" w:rsidP="00587034">
      <w:pPr>
        <w:pStyle w:val="ListParagraph"/>
        <w:numPr>
          <w:ilvl w:val="0"/>
          <w:numId w:val="28"/>
        </w:numPr>
        <w:shd w:val="clear" w:color="auto" w:fill="C5E0B3" w:themeFill="accent6" w:themeFillTint="66"/>
        <w:rPr>
          <w:sz w:val="22"/>
          <w:szCs w:val="22"/>
        </w:rPr>
      </w:pPr>
      <w:r w:rsidRPr="00587034">
        <w:rPr>
          <w:sz w:val="22"/>
          <w:szCs w:val="22"/>
        </w:rPr>
        <w:t>A dollar invested in an additional year of schooling, particularly for girls, generates earnings and health benefits of US$10 in low-income countries and nearly US$4 in lower-middle income countries.</w:t>
      </w:r>
      <w:r w:rsidRPr="00587034">
        <w:rPr>
          <w:rStyle w:val="FootnoteReference"/>
          <w:sz w:val="22"/>
          <w:szCs w:val="22"/>
        </w:rPr>
        <w:footnoteReference w:id="5"/>
      </w:r>
      <w:r w:rsidRPr="00587034">
        <w:rPr>
          <w:sz w:val="22"/>
          <w:szCs w:val="22"/>
        </w:rPr>
        <w:t> </w:t>
      </w:r>
      <w:r w:rsidRPr="00587034" w:rsidDel="001F3D48">
        <w:rPr>
          <w:sz w:val="22"/>
          <w:szCs w:val="22"/>
        </w:rPr>
        <w:t xml:space="preserve"> </w:t>
      </w:r>
    </w:p>
    <w:p w14:paraId="74F45BC0" w14:textId="77777777" w:rsidR="00DA6202" w:rsidRPr="00587034" w:rsidRDefault="00DA6202" w:rsidP="00587034">
      <w:pPr>
        <w:pStyle w:val="ListParagraph"/>
        <w:numPr>
          <w:ilvl w:val="0"/>
          <w:numId w:val="28"/>
        </w:numPr>
        <w:shd w:val="clear" w:color="auto" w:fill="C5E0B3" w:themeFill="accent6" w:themeFillTint="66"/>
        <w:rPr>
          <w:sz w:val="22"/>
          <w:szCs w:val="22"/>
        </w:rPr>
      </w:pPr>
      <w:r w:rsidRPr="00587034">
        <w:rPr>
          <w:sz w:val="22"/>
          <w:szCs w:val="22"/>
        </w:rPr>
        <w:t>Around one-third of the reductions in adult mortality since 1970 can be attributed to gains in educating girls and young women.</w:t>
      </w:r>
      <w:r w:rsidRPr="00587034">
        <w:rPr>
          <w:rStyle w:val="FootnoteReference"/>
          <w:sz w:val="22"/>
          <w:szCs w:val="22"/>
        </w:rPr>
        <w:footnoteReference w:id="6"/>
      </w:r>
    </w:p>
    <w:p w14:paraId="5D70BC39" w14:textId="77777777" w:rsidR="00DA6202" w:rsidRPr="00587034" w:rsidRDefault="00DA6202" w:rsidP="00587034">
      <w:pPr>
        <w:pStyle w:val="ListParagraph"/>
        <w:numPr>
          <w:ilvl w:val="0"/>
          <w:numId w:val="28"/>
        </w:numPr>
        <w:shd w:val="clear" w:color="auto" w:fill="C5E0B3" w:themeFill="accent6" w:themeFillTint="66"/>
        <w:rPr>
          <w:sz w:val="22"/>
          <w:szCs w:val="22"/>
        </w:rPr>
      </w:pPr>
      <w:r w:rsidRPr="00587034">
        <w:rPr>
          <w:sz w:val="22"/>
          <w:szCs w:val="22"/>
        </w:rPr>
        <w:t>Some countries lose more than US$1 billion a year by failing to educate girls to the same level as boys</w:t>
      </w:r>
      <w:r w:rsidRPr="00587034">
        <w:rPr>
          <w:sz w:val="22"/>
          <w:szCs w:val="22"/>
          <w:lang w:val="en-GB"/>
        </w:rPr>
        <w:t>.</w:t>
      </w:r>
      <w:r w:rsidRPr="00587034">
        <w:rPr>
          <w:rStyle w:val="FootnoteReference"/>
          <w:sz w:val="22"/>
          <w:szCs w:val="22"/>
          <w:lang w:val="en-GB"/>
        </w:rPr>
        <w:footnoteReference w:id="7"/>
      </w:r>
    </w:p>
    <w:p w14:paraId="48F1D111" w14:textId="77777777" w:rsidR="00DA6202" w:rsidRPr="00587034" w:rsidRDefault="00DA6202" w:rsidP="00587034">
      <w:pPr>
        <w:pStyle w:val="ListParagraph"/>
        <w:numPr>
          <w:ilvl w:val="0"/>
          <w:numId w:val="28"/>
        </w:numPr>
        <w:shd w:val="clear" w:color="auto" w:fill="C5E0B3" w:themeFill="accent6" w:themeFillTint="66"/>
        <w:rPr>
          <w:sz w:val="22"/>
          <w:szCs w:val="22"/>
        </w:rPr>
      </w:pPr>
      <w:r w:rsidRPr="00587034">
        <w:rPr>
          <w:sz w:val="22"/>
          <w:szCs w:val="22"/>
        </w:rPr>
        <w:t>A child whose mother can read is 50% more likely to live past the age of five, 50% more likely to be immunised, and twice as likely to attend school.</w:t>
      </w:r>
      <w:r w:rsidRPr="00587034">
        <w:rPr>
          <w:rStyle w:val="FootnoteReference"/>
          <w:sz w:val="22"/>
          <w:szCs w:val="22"/>
        </w:rPr>
        <w:footnoteReference w:id="8"/>
      </w:r>
      <w:r w:rsidRPr="00587034">
        <w:rPr>
          <w:sz w:val="22"/>
          <w:szCs w:val="22"/>
        </w:rPr>
        <w:t xml:space="preserve">  </w:t>
      </w:r>
    </w:p>
    <w:p w14:paraId="7FEE4466" w14:textId="77777777" w:rsidR="00DA6202" w:rsidRPr="00587034" w:rsidRDefault="00DA6202" w:rsidP="00587034">
      <w:pPr>
        <w:pStyle w:val="ListParagraph"/>
        <w:numPr>
          <w:ilvl w:val="0"/>
          <w:numId w:val="28"/>
        </w:numPr>
        <w:shd w:val="clear" w:color="auto" w:fill="C5E0B3" w:themeFill="accent6" w:themeFillTint="66"/>
        <w:rPr>
          <w:sz w:val="22"/>
          <w:szCs w:val="22"/>
        </w:rPr>
      </w:pPr>
      <w:r w:rsidRPr="00587034">
        <w:rPr>
          <w:sz w:val="22"/>
          <w:szCs w:val="22"/>
        </w:rPr>
        <w:t>If all mothers completed primary education, maternal deaths would be reduced by two-thirds, saving 189,000 lives.</w:t>
      </w:r>
      <w:r w:rsidRPr="00587034">
        <w:rPr>
          <w:rStyle w:val="FootnoteReference"/>
          <w:sz w:val="22"/>
          <w:szCs w:val="22"/>
        </w:rPr>
        <w:footnoteReference w:id="9"/>
      </w:r>
    </w:p>
    <w:p w14:paraId="72C30B57" w14:textId="77777777" w:rsidR="00DA6202" w:rsidRPr="00587034" w:rsidRDefault="00DA6202" w:rsidP="00587034">
      <w:pPr>
        <w:pStyle w:val="ListParagraph"/>
        <w:numPr>
          <w:ilvl w:val="0"/>
          <w:numId w:val="28"/>
        </w:numPr>
        <w:shd w:val="clear" w:color="auto" w:fill="C5E0B3" w:themeFill="accent6" w:themeFillTint="66"/>
        <w:rPr>
          <w:sz w:val="22"/>
          <w:szCs w:val="22"/>
        </w:rPr>
      </w:pPr>
      <w:r w:rsidRPr="00587034">
        <w:rPr>
          <w:sz w:val="22"/>
          <w:szCs w:val="22"/>
        </w:rPr>
        <w:t>Inequality fuels unrest and when educational inequality doubles, the probability of conflict more than doubles.</w:t>
      </w:r>
      <w:r w:rsidRPr="00587034">
        <w:rPr>
          <w:rStyle w:val="FootnoteReference"/>
          <w:sz w:val="22"/>
          <w:szCs w:val="22"/>
        </w:rPr>
        <w:footnoteReference w:id="10"/>
      </w:r>
    </w:p>
    <w:p w14:paraId="2A1D6874" w14:textId="63CA06BD" w:rsidR="00DA6202" w:rsidRPr="00587034" w:rsidRDefault="00DA6202" w:rsidP="00587034">
      <w:pPr>
        <w:pStyle w:val="ListParagraph"/>
        <w:numPr>
          <w:ilvl w:val="0"/>
          <w:numId w:val="28"/>
        </w:numPr>
        <w:shd w:val="clear" w:color="auto" w:fill="C5E0B3" w:themeFill="accent6" w:themeFillTint="66"/>
        <w:rPr>
          <w:sz w:val="22"/>
          <w:szCs w:val="22"/>
        </w:rPr>
        <w:sectPr w:rsidR="00DA6202" w:rsidRPr="00587034" w:rsidSect="00587034">
          <w:footnotePr>
            <w:numFmt w:val="lowerLetter"/>
          </w:footnotePr>
          <w:endnotePr>
            <w:numFmt w:val="decimal"/>
          </w:endnotePr>
          <w:type w:val="continuous"/>
          <w:pgSz w:w="11906" w:h="16838"/>
          <w:pgMar w:top="851" w:right="1021" w:bottom="851" w:left="1021" w:header="708" w:footer="708" w:gutter="0"/>
          <w:cols w:space="708"/>
          <w:docGrid w:linePitch="360"/>
        </w:sectPr>
      </w:pPr>
      <w:r w:rsidRPr="00587034">
        <w:rPr>
          <w:sz w:val="22"/>
          <w:szCs w:val="22"/>
        </w:rPr>
        <w:t>Universalising upper secondary education by 2030 would prevent 200,000 disaster-related deaths in the 20 years that follow.</w:t>
      </w:r>
      <w:r w:rsidRPr="00587034">
        <w:rPr>
          <w:rStyle w:val="FootnoteReference"/>
          <w:sz w:val="22"/>
          <w:szCs w:val="22"/>
        </w:rPr>
        <w:footnoteReference w:id="11"/>
      </w:r>
      <w:r w:rsidR="00587034">
        <w:rPr>
          <w:sz w:val="22"/>
          <w:szCs w:val="22"/>
        </w:rPr>
        <w:br/>
      </w:r>
    </w:p>
    <w:p w14:paraId="02432FFF" w14:textId="77777777" w:rsidR="00394BFC" w:rsidRDefault="00394BFC" w:rsidP="00BC34D7">
      <w:pPr>
        <w:pStyle w:val="NoSpacing"/>
        <w:jc w:val="both"/>
        <w:rPr>
          <w:b/>
        </w:rPr>
      </w:pPr>
    </w:p>
    <w:p w14:paraId="5E6968E1" w14:textId="3F001C1C" w:rsidR="0038652B" w:rsidRPr="00BC34D7" w:rsidRDefault="0038652B" w:rsidP="00BC34D7">
      <w:pPr>
        <w:pStyle w:val="NoSpacing"/>
        <w:jc w:val="both"/>
        <w:rPr>
          <w:b/>
        </w:rPr>
      </w:pPr>
      <w:r w:rsidRPr="00BC34D7">
        <w:rPr>
          <w:b/>
        </w:rPr>
        <w:t xml:space="preserve">A FAILURE OF FUNDING </w:t>
      </w:r>
    </w:p>
    <w:p w14:paraId="6F8387FC" w14:textId="2F25EC01" w:rsidR="0038652B" w:rsidRDefault="0038652B" w:rsidP="00BC34D7">
      <w:pPr>
        <w:pStyle w:val="NoSpacing"/>
        <w:jc w:val="both"/>
        <w:rPr>
          <w:color w:val="000000"/>
        </w:rPr>
      </w:pPr>
      <w:bookmarkStart w:id="5" w:name="_Hlk493181313"/>
      <w:r w:rsidRPr="00EF4163">
        <w:rPr>
          <w:rFonts w:asciiTheme="minorHAnsi" w:hAnsiTheme="minorHAnsi"/>
          <w:color w:val="000000"/>
        </w:rPr>
        <w:t>Sufficient f</w:t>
      </w:r>
      <w:r>
        <w:rPr>
          <w:rFonts w:asciiTheme="minorHAnsi" w:hAnsiTheme="minorHAnsi"/>
          <w:color w:val="000000"/>
        </w:rPr>
        <w:t>inancing is</w:t>
      </w:r>
      <w:r w:rsidRPr="00EF4163">
        <w:rPr>
          <w:rFonts w:asciiTheme="minorHAnsi" w:hAnsiTheme="minorHAnsi"/>
          <w:color w:val="000000"/>
        </w:rPr>
        <w:t xml:space="preserve"> critical to delivering SDG4</w:t>
      </w:r>
      <w:r w:rsidRPr="00EF4163">
        <w:t>.</w:t>
      </w:r>
      <w:r w:rsidRPr="00EF4163">
        <w:rPr>
          <w:color w:val="000000"/>
        </w:rPr>
        <w:t xml:space="preserve"> </w:t>
      </w:r>
      <w:bookmarkStart w:id="6" w:name="_Hlk493181325"/>
      <w:bookmarkEnd w:id="5"/>
      <w:r w:rsidRPr="00EF4163">
        <w:t>Yet</w:t>
      </w:r>
      <w:r>
        <w:t>,</w:t>
      </w:r>
      <w:r w:rsidRPr="00EF4163">
        <w:t xml:space="preserve"> financing remains significantly lower than it needs to be. This is due to insufficie</w:t>
      </w:r>
      <w:r w:rsidR="00BC34D7">
        <w:t>nt domestic resources allocated</w:t>
      </w:r>
      <w:r>
        <w:t xml:space="preserve"> </w:t>
      </w:r>
      <w:r w:rsidRPr="00EF4163">
        <w:t>to education in developing countries, combined with a lack of support from donors and the international community</w:t>
      </w:r>
      <w:r w:rsidRPr="00EF4163">
        <w:rPr>
          <w:color w:val="000000"/>
        </w:rPr>
        <w:t>.</w:t>
      </w:r>
    </w:p>
    <w:p w14:paraId="564C01E3" w14:textId="001C4FEF" w:rsidR="0038652B" w:rsidRPr="00EF4163" w:rsidRDefault="0038652B" w:rsidP="00BC34D7">
      <w:pPr>
        <w:pStyle w:val="NoSpacing"/>
        <w:jc w:val="both"/>
        <w:rPr>
          <w:color w:val="000000"/>
        </w:rPr>
      </w:pPr>
    </w:p>
    <w:p w14:paraId="2B9852B8" w14:textId="05D02E2B" w:rsidR="0038652B" w:rsidRDefault="008B7274" w:rsidP="00BC34D7">
      <w:pPr>
        <w:pStyle w:val="NoSpacing"/>
        <w:jc w:val="both"/>
      </w:pPr>
      <w:r>
        <w:rPr>
          <w:color w:val="000000"/>
        </w:rPr>
        <w:t>T</w:t>
      </w:r>
      <w:r w:rsidR="0038652B" w:rsidRPr="00EF4163">
        <w:rPr>
          <w:rFonts w:eastAsia="Times New Roman"/>
          <w:color w:val="222222"/>
          <w:lang w:eastAsia="en-GB"/>
        </w:rPr>
        <w:t>he Global Education Monitoring Report has estimated that unless we see a radical shift in financing for education,</w:t>
      </w:r>
      <w:r w:rsidR="0038652B" w:rsidRPr="00EF4163">
        <w:rPr>
          <w:color w:val="000000"/>
        </w:rPr>
        <w:t xml:space="preserve"> </w:t>
      </w:r>
      <w:r w:rsidR="0038652B">
        <w:rPr>
          <w:color w:val="000000"/>
        </w:rPr>
        <w:t xml:space="preserve">including aid, </w:t>
      </w:r>
      <w:r w:rsidR="0038652B" w:rsidRPr="00EF4163">
        <w:rPr>
          <w:color w:val="000000"/>
        </w:rPr>
        <w:t>the SDG4 targets for primary and secondary education will remain off track by</w:t>
      </w:r>
      <w:r w:rsidR="0038652B">
        <w:t xml:space="preserve"> 50 </w:t>
      </w:r>
      <w:r w:rsidR="0038652B" w:rsidRPr="00EF4163">
        <w:t>years.</w:t>
      </w:r>
      <w:r w:rsidR="0038652B" w:rsidRPr="00EF4163">
        <w:rPr>
          <w:rStyle w:val="EndnoteReference"/>
          <w:rFonts w:cs="Calibri"/>
        </w:rPr>
        <w:endnoteReference w:id="10"/>
      </w:r>
      <w:r>
        <w:t xml:space="preserve"> The needs are great. T</w:t>
      </w:r>
      <w:r w:rsidR="0038652B">
        <w:t>he</w:t>
      </w:r>
      <w:r w:rsidR="0038652B" w:rsidRPr="00EF4163">
        <w:t xml:space="preserve"> Education Commission estimates that financing for education needs to steadily increase from $1.2 trillion USD to $3 trillion USD by 2030.</w:t>
      </w:r>
      <w:r w:rsidR="0038652B" w:rsidRPr="00EF4163">
        <w:rPr>
          <w:rStyle w:val="EndnoteReference"/>
        </w:rPr>
        <w:endnoteReference w:id="11"/>
      </w:r>
      <w:r w:rsidR="0038652B" w:rsidRPr="00EF4163">
        <w:t xml:space="preserve"> </w:t>
      </w:r>
    </w:p>
    <w:p w14:paraId="5BDC45CC" w14:textId="2C6E900E" w:rsidR="008B7274" w:rsidRDefault="008B7274" w:rsidP="00BC34D7">
      <w:pPr>
        <w:pStyle w:val="NoSpacing"/>
        <w:jc w:val="both"/>
      </w:pPr>
    </w:p>
    <w:p w14:paraId="289946F9" w14:textId="218A8AD1" w:rsidR="008B7274" w:rsidRPr="00EF4163" w:rsidRDefault="008B7274" w:rsidP="00BC34D7">
      <w:pPr>
        <w:pStyle w:val="NoSpacing"/>
        <w:jc w:val="both"/>
      </w:pPr>
      <w:r>
        <w:rPr>
          <w:color w:val="000000"/>
        </w:rPr>
        <w:t>Urgent attention is</w:t>
      </w:r>
      <w:r w:rsidRPr="00EF4163">
        <w:rPr>
          <w:color w:val="000000"/>
        </w:rPr>
        <w:t xml:space="preserve"> required to secure sufficient financing </w:t>
      </w:r>
      <w:r>
        <w:rPr>
          <w:color w:val="000000"/>
        </w:rPr>
        <w:t xml:space="preserve">for the implementation of the </w:t>
      </w:r>
      <w:r w:rsidRPr="00EF4163">
        <w:rPr>
          <w:color w:val="000000"/>
        </w:rPr>
        <w:t xml:space="preserve">ambitious </w:t>
      </w:r>
      <w:r>
        <w:rPr>
          <w:color w:val="000000"/>
        </w:rPr>
        <w:t xml:space="preserve">SDG4 </w:t>
      </w:r>
      <w:r w:rsidRPr="00EF4163">
        <w:rPr>
          <w:color w:val="000000"/>
        </w:rPr>
        <w:t xml:space="preserve">targets. </w:t>
      </w:r>
    </w:p>
    <w:p w14:paraId="494304F2" w14:textId="30563DEC" w:rsidR="0038652B" w:rsidRPr="00EF4163" w:rsidRDefault="0038652B" w:rsidP="000D6C20">
      <w:pPr>
        <w:pStyle w:val="NoSpacing"/>
        <w:jc w:val="both"/>
      </w:pPr>
    </w:p>
    <w:p w14:paraId="56617725" w14:textId="0CD6B1F7" w:rsidR="0038652B" w:rsidRPr="00EF4163" w:rsidRDefault="0038652B" w:rsidP="000D6C20">
      <w:pPr>
        <w:pStyle w:val="NoSpacing"/>
        <w:jc w:val="both"/>
        <w:rPr>
          <w:b/>
        </w:rPr>
      </w:pPr>
      <w:r w:rsidRPr="00EF4163">
        <w:rPr>
          <w:b/>
        </w:rPr>
        <w:t>FUNDING GPE 2020: A VITAL PART OF ACHIEVING A FINANCING BREAKTHROUGH FOR SDG4</w:t>
      </w:r>
    </w:p>
    <w:p w14:paraId="4AE5BDF2" w14:textId="34DD0EB8" w:rsidR="0038652B" w:rsidRPr="00EF4163" w:rsidRDefault="0038652B" w:rsidP="00FB7D11">
      <w:pPr>
        <w:pStyle w:val="NoSpacing"/>
        <w:jc w:val="both"/>
      </w:pPr>
      <w:r w:rsidRPr="00EF4163">
        <w:rPr>
          <w:noProof/>
        </w:rPr>
        <mc:AlternateContent>
          <mc:Choice Requires="wps">
            <w:drawing>
              <wp:anchor distT="45720" distB="45720" distL="114300" distR="114300" simplePos="0" relativeHeight="251671552" behindDoc="0" locked="0" layoutInCell="1" allowOverlap="1" wp14:anchorId="36CE0E11" wp14:editId="39821020">
                <wp:simplePos x="0" y="0"/>
                <wp:positionH relativeFrom="margin">
                  <wp:posOffset>3961765</wp:posOffset>
                </wp:positionH>
                <wp:positionV relativeFrom="paragraph">
                  <wp:posOffset>49530</wp:posOffset>
                </wp:positionV>
                <wp:extent cx="2278380" cy="12039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1203960"/>
                        </a:xfrm>
                        <a:prstGeom prst="rect">
                          <a:avLst/>
                        </a:prstGeom>
                        <a:solidFill>
                          <a:schemeClr val="accent6">
                            <a:lumMod val="40000"/>
                            <a:lumOff val="60000"/>
                          </a:schemeClr>
                        </a:solidFill>
                        <a:ln w="9525">
                          <a:solidFill>
                            <a:schemeClr val="accent6"/>
                          </a:solidFill>
                          <a:miter lim="800000"/>
                          <a:headEnd/>
                          <a:tailEnd/>
                        </a:ln>
                      </wps:spPr>
                      <wps:txbx>
                        <w:txbxContent>
                          <w:p w14:paraId="4AD36692" w14:textId="20F16D57" w:rsidR="0038652B" w:rsidRPr="00394BFC" w:rsidRDefault="0038652B" w:rsidP="004C14B0">
                            <w:pPr>
                              <w:jc w:val="center"/>
                              <w:rPr>
                                <w:i/>
                                <w:iCs/>
                                <w:sz w:val="20"/>
                                <w:szCs w:val="20"/>
                              </w:rPr>
                            </w:pPr>
                            <w:r w:rsidRPr="00394BFC">
                              <w:rPr>
                                <w:i/>
                                <w:iCs/>
                                <w:sz w:val="20"/>
                                <w:szCs w:val="20"/>
                              </w:rPr>
                              <w:t>“The Global Partnership for Education’s Financing Conference is out first opportunity to turn political commitment into tangible support”</w:t>
                            </w:r>
                          </w:p>
                          <w:p w14:paraId="6453E42C" w14:textId="10E7857E" w:rsidR="0038652B" w:rsidRPr="000B6BB9" w:rsidRDefault="0038652B" w:rsidP="00394BFC">
                            <w:pPr>
                              <w:jc w:val="center"/>
                              <w:rPr>
                                <w:b/>
                                <w:sz w:val="20"/>
                                <w:szCs w:val="20"/>
                              </w:rPr>
                            </w:pPr>
                            <w:r w:rsidRPr="000B6BB9">
                              <w:rPr>
                                <w:b/>
                                <w:sz w:val="20"/>
                                <w:szCs w:val="20"/>
                              </w:rPr>
                              <w:t xml:space="preserve">António </w:t>
                            </w:r>
                            <w:proofErr w:type="spellStart"/>
                            <w:r w:rsidRPr="000B6BB9">
                              <w:rPr>
                                <w:b/>
                                <w:sz w:val="20"/>
                                <w:szCs w:val="20"/>
                              </w:rPr>
                              <w:t>Guterre</w:t>
                            </w:r>
                            <w:r>
                              <w:rPr>
                                <w:b/>
                                <w:sz w:val="20"/>
                                <w:szCs w:val="20"/>
                              </w:rPr>
                              <w:t>s</w:t>
                            </w:r>
                            <w:proofErr w:type="spellEnd"/>
                            <w:r>
                              <w:rPr>
                                <w:b/>
                                <w:sz w:val="20"/>
                                <w:szCs w:val="20"/>
                              </w:rPr>
                              <w:t>,</w:t>
                            </w:r>
                            <w:r w:rsidRPr="000B6BB9">
                              <w:rPr>
                                <w:b/>
                                <w:sz w:val="20"/>
                                <w:szCs w:val="20"/>
                              </w:rPr>
                              <w:t xml:space="preserve"> </w:t>
                            </w:r>
                            <w:r w:rsidR="00394BFC">
                              <w:rPr>
                                <w:b/>
                                <w:sz w:val="20"/>
                                <w:szCs w:val="20"/>
                              </w:rPr>
                              <w:br/>
                            </w:r>
                            <w:r w:rsidRPr="000B6BB9">
                              <w:rPr>
                                <w:b/>
                                <w:sz w:val="20"/>
                                <w:szCs w:val="20"/>
                              </w:rPr>
                              <w:t>Secretary-General of the 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CE0E11" id="_x0000_t202" coordsize="21600,21600" o:spt="202" path="m,l,21600r21600,l21600,xe">
                <v:stroke joinstyle="miter"/>
                <v:path gradientshapeok="t" o:connecttype="rect"/>
              </v:shapetype>
              <v:shape id="Text Box 2" o:spid="_x0000_s1026" type="#_x0000_t202" style="position:absolute;left:0;text-align:left;margin-left:311.95pt;margin-top:3.9pt;width:179.4pt;height:94.8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" fillcolor="#c5e0b3 [1305]" strokecolor="#70ad47 [3209]">
                <v:textbox>
                  <w:txbxContent>
                    <w:p w14:paraId="4AD36692" w14:textId="20F16D57" w:rsidR="0038652B" w:rsidRPr="00394BFC" w:rsidRDefault="0038652B" w:rsidP="004C14B0">
                      <w:pPr>
                        <w:jc w:val="center"/>
                        <w:rPr>
                          <w:i/>
                          <w:iCs/>
                          <w:sz w:val="20"/>
                          <w:szCs w:val="20"/>
                        </w:rPr>
                      </w:pPr>
                      <w:r w:rsidRPr="00394BFC">
                        <w:rPr>
                          <w:i/>
                          <w:iCs/>
                          <w:sz w:val="20"/>
                          <w:szCs w:val="20"/>
                        </w:rPr>
                        <w:t>“The Global Partnership for Education’s Financing Conference is out first opportunity to turn political commitment into tangible support”</w:t>
                      </w:r>
                    </w:p>
                    <w:p w14:paraId="6453E42C" w14:textId="10E7857E" w:rsidR="0038652B" w:rsidRPr="000B6BB9" w:rsidRDefault="0038652B" w:rsidP="00394BFC">
                      <w:pPr>
                        <w:jc w:val="center"/>
                        <w:rPr>
                          <w:b/>
                          <w:sz w:val="20"/>
                          <w:szCs w:val="20"/>
                        </w:rPr>
                      </w:pPr>
                      <w:r w:rsidRPr="000B6BB9">
                        <w:rPr>
                          <w:b/>
                          <w:sz w:val="20"/>
                          <w:szCs w:val="20"/>
                        </w:rPr>
                        <w:t xml:space="preserve">António </w:t>
                      </w:r>
                      <w:proofErr w:type="spellStart"/>
                      <w:r w:rsidRPr="000B6BB9">
                        <w:rPr>
                          <w:b/>
                          <w:sz w:val="20"/>
                          <w:szCs w:val="20"/>
                        </w:rPr>
                        <w:t>Guterre</w:t>
                      </w:r>
                      <w:r>
                        <w:rPr>
                          <w:b/>
                          <w:sz w:val="20"/>
                          <w:szCs w:val="20"/>
                        </w:rPr>
                        <w:t>s</w:t>
                      </w:r>
                      <w:proofErr w:type="spellEnd"/>
                      <w:r>
                        <w:rPr>
                          <w:b/>
                          <w:sz w:val="20"/>
                          <w:szCs w:val="20"/>
                        </w:rPr>
                        <w:t>,</w:t>
                      </w:r>
                      <w:r w:rsidRPr="000B6BB9">
                        <w:rPr>
                          <w:b/>
                          <w:sz w:val="20"/>
                          <w:szCs w:val="20"/>
                        </w:rPr>
                        <w:t xml:space="preserve"> </w:t>
                      </w:r>
                      <w:r w:rsidR="00394BFC">
                        <w:rPr>
                          <w:b/>
                          <w:sz w:val="20"/>
                          <w:szCs w:val="20"/>
                        </w:rPr>
                        <w:br/>
                      </w:r>
                      <w:r w:rsidRPr="000B6BB9">
                        <w:rPr>
                          <w:b/>
                          <w:sz w:val="20"/>
                          <w:szCs w:val="20"/>
                        </w:rPr>
                        <w:t>Secretary-General of the UN</w:t>
                      </w:r>
                    </w:p>
                  </w:txbxContent>
                </v:textbox>
                <w10:wrap type="square" anchorx="margin"/>
              </v:shape>
            </w:pict>
          </mc:Fallback>
        </mc:AlternateContent>
      </w:r>
      <w:r>
        <w:t xml:space="preserve">A financing breakthrough is required </w:t>
      </w:r>
      <w:r w:rsidRPr="00EF4163">
        <w:t>to achieve SDG4</w:t>
      </w:r>
      <w:bookmarkEnd w:id="6"/>
      <w:r>
        <w:t xml:space="preserve"> </w:t>
      </w:r>
      <w:r w:rsidRPr="00EF4163">
        <w:t>– developing</w:t>
      </w:r>
      <w:r>
        <w:t xml:space="preserve"> countries</w:t>
      </w:r>
      <w:r w:rsidRPr="00EF4163">
        <w:t>, donors and the international community must work together to achieve this.</w:t>
      </w:r>
      <w:bookmarkStart w:id="7" w:name="_Hlk493180573"/>
      <w:r w:rsidRPr="00EF4163">
        <w:t xml:space="preserve"> </w:t>
      </w:r>
      <w:r w:rsidRPr="00EF4163">
        <w:rPr>
          <w:rFonts w:cs="Calibri"/>
          <w:color w:val="000000"/>
        </w:rPr>
        <w:t xml:space="preserve">At the start of 2018, two full years into the implementation of </w:t>
      </w:r>
      <w:r w:rsidRPr="00EF4163">
        <w:rPr>
          <w:rFonts w:cstheme="minorHAnsi"/>
          <w:color w:val="000000"/>
        </w:rPr>
        <w:t xml:space="preserve">Education 2030 period, there is a </w:t>
      </w:r>
      <w:r>
        <w:rPr>
          <w:rFonts w:cstheme="minorHAnsi"/>
          <w:color w:val="000000"/>
        </w:rPr>
        <w:t xml:space="preserve">unique opportunity to begin to achieve this breakthrough. </w:t>
      </w:r>
    </w:p>
    <w:p w14:paraId="362255CD" w14:textId="26575C84" w:rsidR="0038652B" w:rsidRPr="00EF4163" w:rsidRDefault="0038652B" w:rsidP="00FB7D11">
      <w:pPr>
        <w:autoSpaceDE w:val="0"/>
        <w:autoSpaceDN w:val="0"/>
        <w:adjustRightInd w:val="0"/>
        <w:spacing w:after="0" w:line="240" w:lineRule="auto"/>
      </w:pPr>
    </w:p>
    <w:p w14:paraId="5CC31879" w14:textId="77777777" w:rsidR="00587034" w:rsidRDefault="00587034">
      <w:pPr>
        <w:rPr>
          <w:rFonts w:ascii="Calibri" w:hAnsi="Calibri" w:cs="Calibri"/>
        </w:rPr>
      </w:pPr>
      <w:r>
        <w:rPr>
          <w:rFonts w:ascii="Calibri" w:hAnsi="Calibri" w:cs="Calibri"/>
        </w:rPr>
        <w:br w:type="page"/>
      </w:r>
    </w:p>
    <w:p w14:paraId="35177433" w14:textId="438EB00D" w:rsidR="00587034" w:rsidRDefault="0038652B" w:rsidP="00587034">
      <w:pPr>
        <w:autoSpaceDE w:val="0"/>
        <w:autoSpaceDN w:val="0"/>
        <w:adjustRightInd w:val="0"/>
        <w:spacing w:after="0" w:line="240" w:lineRule="auto"/>
      </w:pPr>
      <w:r w:rsidRPr="00EF4163">
        <w:rPr>
          <w:rFonts w:ascii="Calibri" w:hAnsi="Calibri" w:cs="Calibri"/>
        </w:rPr>
        <w:lastRenderedPageBreak/>
        <w:t>The Global Partnership for Education (GPE) will hold an historic replenishment conference in Senegal, co‐hosted with France.</w:t>
      </w:r>
      <w:bookmarkEnd w:id="7"/>
      <w:r>
        <w:rPr>
          <w:rFonts w:ascii="Calibri" w:hAnsi="Calibri" w:cs="Calibri"/>
        </w:rPr>
        <w:t xml:space="preserve"> </w:t>
      </w:r>
      <w:r>
        <w:t>Ensuring the Global Partnership for Education – the only multilateral partnership devoted to getting all children into school for a quality education – has sufficient funding is vital to reversing a global funding gap for education.</w:t>
      </w:r>
      <w:r w:rsidR="00587034">
        <w:t xml:space="preserve"> </w:t>
      </w:r>
    </w:p>
    <w:p w14:paraId="5404B13F" w14:textId="77777777" w:rsidR="00587034" w:rsidRDefault="00587034" w:rsidP="00587034">
      <w:pPr>
        <w:autoSpaceDE w:val="0"/>
        <w:autoSpaceDN w:val="0"/>
        <w:adjustRightInd w:val="0"/>
        <w:spacing w:after="0" w:line="240" w:lineRule="auto"/>
      </w:pPr>
    </w:p>
    <w:p w14:paraId="1276B03B" w14:textId="7EA5AE2A" w:rsidR="0038652B" w:rsidRPr="00587034" w:rsidRDefault="00587034" w:rsidP="00587034">
      <w:pPr>
        <w:autoSpaceDE w:val="0"/>
        <w:autoSpaceDN w:val="0"/>
        <w:adjustRightInd w:val="0"/>
        <w:spacing w:after="0" w:line="240" w:lineRule="auto"/>
      </w:pPr>
      <w:r>
        <w:rPr>
          <w:rFonts w:cstheme="minorHAnsi"/>
        </w:rPr>
        <w:t>T</w:t>
      </w:r>
      <w:r w:rsidR="0038652B" w:rsidRPr="00D66362">
        <w:rPr>
          <w:rFonts w:cstheme="minorHAnsi"/>
        </w:rPr>
        <w:t xml:space="preserve">he Global Partnership for Education has </w:t>
      </w:r>
      <w:r w:rsidR="0038652B">
        <w:rPr>
          <w:rFonts w:cstheme="minorHAnsi"/>
        </w:rPr>
        <w:t xml:space="preserve">set a </w:t>
      </w:r>
      <w:r w:rsidR="0038652B" w:rsidRPr="00D66362">
        <w:rPr>
          <w:rFonts w:cstheme="minorHAnsi"/>
        </w:rPr>
        <w:t>goal of reaching US$2 billion</w:t>
      </w:r>
      <w:r w:rsidR="0038652B">
        <w:rPr>
          <w:rFonts w:cstheme="minorHAnsi"/>
        </w:rPr>
        <w:t xml:space="preserve"> annually</w:t>
      </w:r>
      <w:r w:rsidR="0038652B" w:rsidRPr="00D66362">
        <w:rPr>
          <w:rFonts w:cstheme="minorHAnsi"/>
        </w:rPr>
        <w:t xml:space="preserve"> by 2020. </w:t>
      </w:r>
      <w:r w:rsidR="0038652B">
        <w:rPr>
          <w:rFonts w:cstheme="minorHAnsi"/>
        </w:rPr>
        <w:t xml:space="preserve">Both donors and developing country partners will be expected to make financing pledges at the upcoming conference. </w:t>
      </w:r>
      <w:r w:rsidR="0038652B" w:rsidRPr="00D66362">
        <w:rPr>
          <w:rFonts w:cstheme="minorHAnsi"/>
        </w:rPr>
        <w:t>GPE is asking:</w:t>
      </w:r>
    </w:p>
    <w:p w14:paraId="164698AA" w14:textId="77777777" w:rsidR="00394BFC" w:rsidRPr="004711FA" w:rsidRDefault="00394BFC" w:rsidP="0050436F">
      <w:pPr>
        <w:autoSpaceDE w:val="0"/>
        <w:autoSpaceDN w:val="0"/>
        <w:adjustRightInd w:val="0"/>
        <w:spacing w:after="0" w:line="240" w:lineRule="auto"/>
        <w:rPr>
          <w:rFonts w:cstheme="minorHAnsi"/>
        </w:rPr>
      </w:pPr>
    </w:p>
    <w:p w14:paraId="6E539488" w14:textId="77777777" w:rsidR="0038652B" w:rsidRPr="00D66362" w:rsidRDefault="0038652B" w:rsidP="0050436F">
      <w:pPr>
        <w:pStyle w:val="ListParagraph"/>
        <w:numPr>
          <w:ilvl w:val="0"/>
          <w:numId w:val="4"/>
        </w:numPr>
        <w:rPr>
          <w:rFonts w:asciiTheme="minorHAnsi" w:hAnsiTheme="minorHAnsi" w:cstheme="minorHAnsi"/>
          <w:sz w:val="22"/>
          <w:szCs w:val="22"/>
        </w:rPr>
      </w:pPr>
      <w:r w:rsidRPr="00D66362">
        <w:rPr>
          <w:rFonts w:asciiTheme="minorHAnsi" w:hAnsiTheme="minorHAnsi" w:cstheme="minorHAnsi"/>
          <w:sz w:val="22"/>
          <w:szCs w:val="22"/>
        </w:rPr>
        <w:t>Donor governments to provide US$3.1 billion</w:t>
      </w:r>
    </w:p>
    <w:p w14:paraId="17762217" w14:textId="77777777" w:rsidR="0038652B" w:rsidRDefault="0038652B" w:rsidP="0050436F">
      <w:pPr>
        <w:pStyle w:val="ListParagraph"/>
        <w:numPr>
          <w:ilvl w:val="0"/>
          <w:numId w:val="4"/>
        </w:numPr>
        <w:rPr>
          <w:rFonts w:asciiTheme="minorHAnsi" w:hAnsiTheme="minorHAnsi" w:cstheme="minorHAnsi"/>
          <w:sz w:val="22"/>
          <w:szCs w:val="22"/>
        </w:rPr>
      </w:pPr>
      <w:r w:rsidRPr="00D66362">
        <w:rPr>
          <w:rFonts w:asciiTheme="minorHAnsi" w:hAnsiTheme="minorHAnsi" w:cstheme="minorHAnsi"/>
          <w:sz w:val="22"/>
          <w:szCs w:val="22"/>
        </w:rPr>
        <w:t>Developing country governments to allocate 20% of government expenditure to education.</w:t>
      </w:r>
    </w:p>
    <w:p w14:paraId="11A012D4" w14:textId="3FE26961" w:rsidR="0038652B" w:rsidRDefault="0038652B" w:rsidP="00494AAB">
      <w:pPr>
        <w:autoSpaceDE w:val="0"/>
        <w:autoSpaceDN w:val="0"/>
        <w:adjustRightInd w:val="0"/>
        <w:spacing w:after="0" w:line="240" w:lineRule="auto"/>
        <w:rPr>
          <w:rFonts w:ascii="Calibri" w:hAnsi="Calibri" w:cs="Calibri"/>
        </w:rPr>
      </w:pPr>
      <w:r>
        <w:t>This is a unique opportunity to gain commitments where the need is often the greatest, because GPE supports quality and equitable</w:t>
      </w:r>
      <w:r w:rsidRPr="00EF4163">
        <w:t xml:space="preserve"> primary and secondary education</w:t>
      </w:r>
      <w:r w:rsidRPr="00EF4163">
        <w:rPr>
          <w:rFonts w:cstheme="minorHAnsi"/>
        </w:rPr>
        <w:t xml:space="preserve"> </w:t>
      </w:r>
      <w:r>
        <w:t>in the countries that</w:t>
      </w:r>
      <w:r w:rsidRPr="00EF4163">
        <w:t xml:space="preserve"> are home to approximately 870 million children and youth</w:t>
      </w:r>
      <w:r>
        <w:t>,</w:t>
      </w:r>
      <w:r w:rsidRPr="00EF4163">
        <w:t xml:space="preserve"> and 78</w:t>
      </w:r>
      <w:r>
        <w:t>%</w:t>
      </w:r>
      <w:r w:rsidRPr="00EF4163">
        <w:t xml:space="preserve"> of the world’s out</w:t>
      </w:r>
      <w:r>
        <w:t>-</w:t>
      </w:r>
      <w:r w:rsidRPr="00EF4163">
        <w:t>of</w:t>
      </w:r>
      <w:r>
        <w:t>-</w:t>
      </w:r>
      <w:r w:rsidRPr="00EF4163">
        <w:t>school children</w:t>
      </w:r>
      <w:r>
        <w:t>.</w:t>
      </w:r>
      <w:r>
        <w:rPr>
          <w:rStyle w:val="EndnoteReference"/>
        </w:rPr>
        <w:endnoteReference w:id="12"/>
      </w:r>
      <w:r>
        <w:t xml:space="preserve"> </w:t>
      </w:r>
    </w:p>
    <w:p w14:paraId="4FFAB20C" w14:textId="77777777" w:rsidR="0038652B" w:rsidRPr="00494AAB" w:rsidRDefault="0038652B" w:rsidP="00494AAB">
      <w:pPr>
        <w:autoSpaceDE w:val="0"/>
        <w:autoSpaceDN w:val="0"/>
        <w:adjustRightInd w:val="0"/>
        <w:spacing w:after="0" w:line="240" w:lineRule="auto"/>
        <w:rPr>
          <w:rFonts w:cs="Calibri"/>
        </w:rPr>
      </w:pPr>
    </w:p>
    <w:p w14:paraId="0E623585" w14:textId="357D4F7D" w:rsidR="0038652B" w:rsidRDefault="0038652B" w:rsidP="0050436F">
      <w:pPr>
        <w:pStyle w:val="NoSpacing"/>
        <w:pBdr>
          <w:top w:val="single" w:sz="8" w:space="1" w:color="ED7D31" w:themeColor="accent2"/>
          <w:left w:val="single" w:sz="8" w:space="4" w:color="ED7D31" w:themeColor="accent2"/>
          <w:bottom w:val="single" w:sz="8" w:space="1" w:color="ED7D31" w:themeColor="accent2"/>
          <w:right w:val="single" w:sz="8" w:space="4" w:color="ED7D31" w:themeColor="accent2"/>
        </w:pBdr>
        <w:shd w:val="clear" w:color="auto" w:fill="F7CAAC" w:themeFill="accent2" w:themeFillTint="66"/>
        <w:jc w:val="both"/>
        <w:rPr>
          <w:b/>
        </w:rPr>
      </w:pPr>
      <w:r w:rsidRPr="00FB7D11">
        <w:rPr>
          <w:b/>
        </w:rPr>
        <w:t>What is the Global Partnership for Education?</w:t>
      </w:r>
    </w:p>
    <w:p w14:paraId="58BF3220" w14:textId="77777777" w:rsidR="00587034" w:rsidRDefault="00587034" w:rsidP="0050436F">
      <w:pPr>
        <w:pStyle w:val="NoSpacing"/>
        <w:pBdr>
          <w:top w:val="single" w:sz="8" w:space="1" w:color="ED7D31" w:themeColor="accent2"/>
          <w:left w:val="single" w:sz="8" w:space="4" w:color="ED7D31" w:themeColor="accent2"/>
          <w:bottom w:val="single" w:sz="8" w:space="1" w:color="ED7D31" w:themeColor="accent2"/>
          <w:right w:val="single" w:sz="8" w:space="4" w:color="ED7D31" w:themeColor="accent2"/>
        </w:pBdr>
        <w:shd w:val="clear" w:color="auto" w:fill="F7CAAC" w:themeFill="accent2" w:themeFillTint="66"/>
        <w:jc w:val="both"/>
        <w:rPr>
          <w:rFonts w:cstheme="minorHAnsi"/>
        </w:rPr>
      </w:pPr>
      <w:bookmarkStart w:id="8" w:name="_Hlk493181913"/>
      <w:bookmarkStart w:id="9" w:name="_Hlk493233713"/>
    </w:p>
    <w:p w14:paraId="496F5422" w14:textId="0DD252CD" w:rsidR="0038652B" w:rsidRDefault="0038652B" w:rsidP="0050436F">
      <w:pPr>
        <w:pStyle w:val="NoSpacing"/>
        <w:pBdr>
          <w:top w:val="single" w:sz="8" w:space="1" w:color="ED7D31" w:themeColor="accent2"/>
          <w:left w:val="single" w:sz="8" w:space="4" w:color="ED7D31" w:themeColor="accent2"/>
          <w:bottom w:val="single" w:sz="8" w:space="1" w:color="ED7D31" w:themeColor="accent2"/>
          <w:right w:val="single" w:sz="8" w:space="4" w:color="ED7D31" w:themeColor="accent2"/>
        </w:pBdr>
        <w:shd w:val="clear" w:color="auto" w:fill="F7CAAC" w:themeFill="accent2" w:themeFillTint="66"/>
        <w:jc w:val="both"/>
        <w:rPr>
          <w:rFonts w:cstheme="minorHAnsi"/>
        </w:rPr>
      </w:pPr>
      <w:r w:rsidRPr="00D66362">
        <w:rPr>
          <w:rFonts w:cstheme="minorHAnsi"/>
        </w:rPr>
        <w:t>Established in 2002, the Global Partnership for Education is the world’s only multilateral partnership exclusively devoted to improving the provision of quality education for children. GPE brings together governments, multilateral agencies, international o</w:t>
      </w:r>
      <w:r>
        <w:rPr>
          <w:rFonts w:cstheme="minorHAnsi"/>
        </w:rPr>
        <w:t>rganis</w:t>
      </w:r>
      <w:r w:rsidRPr="00D66362">
        <w:rPr>
          <w:rFonts w:cstheme="minorHAnsi"/>
        </w:rPr>
        <w:t>ations, foundations, the private sector, and civil society to mobilise technical and financial resources towards the areas in greatest need.</w:t>
      </w:r>
      <w:r>
        <w:rPr>
          <w:rFonts w:cstheme="minorHAnsi"/>
        </w:rPr>
        <w:t xml:space="preserve"> </w:t>
      </w:r>
    </w:p>
    <w:p w14:paraId="1DB60136" w14:textId="77777777" w:rsidR="0038652B" w:rsidRDefault="0038652B" w:rsidP="0050436F">
      <w:pPr>
        <w:pStyle w:val="NoSpacing"/>
        <w:pBdr>
          <w:top w:val="single" w:sz="8" w:space="1" w:color="ED7D31" w:themeColor="accent2"/>
          <w:left w:val="single" w:sz="8" w:space="4" w:color="ED7D31" w:themeColor="accent2"/>
          <w:bottom w:val="single" w:sz="8" w:space="1" w:color="ED7D31" w:themeColor="accent2"/>
          <w:right w:val="single" w:sz="8" w:space="4" w:color="ED7D31" w:themeColor="accent2"/>
        </w:pBdr>
        <w:shd w:val="clear" w:color="auto" w:fill="F7CAAC" w:themeFill="accent2" w:themeFillTint="66"/>
        <w:jc w:val="both"/>
        <w:rPr>
          <w:rFonts w:cstheme="minorHAnsi"/>
        </w:rPr>
      </w:pPr>
    </w:p>
    <w:p w14:paraId="49636482" w14:textId="5FD19494" w:rsidR="0038652B" w:rsidRDefault="0038652B" w:rsidP="0050436F">
      <w:pPr>
        <w:pStyle w:val="NoSpacing"/>
        <w:pBdr>
          <w:top w:val="single" w:sz="8" w:space="1" w:color="ED7D31" w:themeColor="accent2"/>
          <w:left w:val="single" w:sz="8" w:space="4" w:color="ED7D31" w:themeColor="accent2"/>
          <w:bottom w:val="single" w:sz="8" w:space="1" w:color="ED7D31" w:themeColor="accent2"/>
          <w:right w:val="single" w:sz="8" w:space="4" w:color="ED7D31" w:themeColor="accent2"/>
        </w:pBdr>
        <w:shd w:val="clear" w:color="auto" w:fill="F7CAAC" w:themeFill="accent2" w:themeFillTint="66"/>
        <w:jc w:val="both"/>
        <w:rPr>
          <w:rFonts w:cstheme="minorHAnsi"/>
        </w:rPr>
      </w:pPr>
      <w:r w:rsidRPr="00D66362">
        <w:rPr>
          <w:rFonts w:cstheme="minorHAnsi"/>
        </w:rPr>
        <w:t>At the heart of GPE is a belief in the value of bringing together developing country governments with donor country governments, civil society, the teaching profession and the private sector, to pool resources and knowledge in support of education, both globally and nationally. Through this approach, it achieves coordinated, strategic support to nationally-led education plans that aim to provide every child with a quality basic education.</w:t>
      </w:r>
      <w:bookmarkEnd w:id="8"/>
      <w:r>
        <w:rPr>
          <w:rFonts w:cstheme="minorHAnsi"/>
        </w:rPr>
        <w:t xml:space="preserve"> </w:t>
      </w:r>
      <w:r w:rsidRPr="00D66362">
        <w:rPr>
          <w:rFonts w:cstheme="minorHAnsi"/>
        </w:rPr>
        <w:t xml:space="preserve">The Global Partnership for Education has grown from 7 developing country partners in 2002 to 65 in 2017. </w:t>
      </w:r>
      <w:bookmarkEnd w:id="9"/>
      <w:r w:rsidRPr="0003114B">
        <w:rPr>
          <w:rFonts w:cstheme="minorHAnsi"/>
        </w:rPr>
        <w:t>GPE disbursements have increased from US$16 million in 2004 to US$446 mil</w:t>
      </w:r>
      <w:r>
        <w:rPr>
          <w:rFonts w:cstheme="minorHAnsi"/>
        </w:rPr>
        <w:t>lion in 2015, making the organis</w:t>
      </w:r>
      <w:r w:rsidRPr="0003114B">
        <w:rPr>
          <w:rFonts w:cstheme="minorHAnsi"/>
        </w:rPr>
        <w:t>ation the second-largest multilateral donor to basic and secondary</w:t>
      </w:r>
      <w:r>
        <w:rPr>
          <w:rFonts w:cstheme="minorHAnsi"/>
        </w:rPr>
        <w:t xml:space="preserve"> education after the World Bank</w:t>
      </w:r>
      <w:r w:rsidRPr="004F3999">
        <w:rPr>
          <w:rFonts w:cstheme="minorHAnsi"/>
        </w:rPr>
        <w:t xml:space="preserve"> </w:t>
      </w:r>
      <w:r>
        <w:rPr>
          <w:rFonts w:cstheme="minorHAnsi"/>
        </w:rPr>
        <w:t xml:space="preserve">in </w:t>
      </w:r>
      <w:r w:rsidRPr="00D66362">
        <w:rPr>
          <w:rFonts w:cstheme="minorHAnsi"/>
        </w:rPr>
        <w:t>low- an</w:t>
      </w:r>
      <w:r>
        <w:rPr>
          <w:rFonts w:cstheme="minorHAnsi"/>
        </w:rPr>
        <w:t>d lower-middle income countries</w:t>
      </w:r>
      <w:r w:rsidRPr="0003114B">
        <w:rPr>
          <w:rFonts w:cstheme="minorHAnsi"/>
        </w:rPr>
        <w:t>.</w:t>
      </w:r>
      <w:r>
        <w:rPr>
          <w:rStyle w:val="EndnoteReference"/>
          <w:rFonts w:cstheme="minorHAnsi"/>
        </w:rPr>
        <w:endnoteReference w:id="13"/>
      </w:r>
      <w:bookmarkStart w:id="10" w:name="_Hlk493181940"/>
      <w:r w:rsidRPr="004F3999">
        <w:rPr>
          <w:rFonts w:cstheme="minorHAnsi"/>
        </w:rPr>
        <w:t xml:space="preserve"> </w:t>
      </w:r>
      <w:bookmarkEnd w:id="10"/>
    </w:p>
    <w:p w14:paraId="063DD99F" w14:textId="77777777" w:rsidR="00587034" w:rsidRPr="00D66362" w:rsidRDefault="00587034" w:rsidP="0050436F">
      <w:pPr>
        <w:pStyle w:val="NoSpacing"/>
        <w:pBdr>
          <w:top w:val="single" w:sz="8" w:space="1" w:color="ED7D31" w:themeColor="accent2"/>
          <w:left w:val="single" w:sz="8" w:space="4" w:color="ED7D31" w:themeColor="accent2"/>
          <w:bottom w:val="single" w:sz="8" w:space="1" w:color="ED7D31" w:themeColor="accent2"/>
          <w:right w:val="single" w:sz="8" w:space="4" w:color="ED7D31" w:themeColor="accent2"/>
        </w:pBdr>
        <w:shd w:val="clear" w:color="auto" w:fill="F7CAAC" w:themeFill="accent2" w:themeFillTint="66"/>
        <w:jc w:val="both"/>
        <w:rPr>
          <w:rFonts w:cstheme="minorHAnsi"/>
        </w:rPr>
      </w:pPr>
    </w:p>
    <w:p w14:paraId="6F8EC85A" w14:textId="1D4A545B" w:rsidR="00BC34D7" w:rsidRPr="00CC3E4F" w:rsidRDefault="00BC34D7" w:rsidP="00BC34D7">
      <w:pPr>
        <w:autoSpaceDE w:val="0"/>
        <w:autoSpaceDN w:val="0"/>
        <w:adjustRightInd w:val="0"/>
        <w:spacing w:after="0" w:line="240" w:lineRule="auto"/>
        <w:rPr>
          <w:rFonts w:ascii="Calibri" w:hAnsi="Calibri" w:cs="Calibri"/>
        </w:rPr>
      </w:pPr>
      <w:r>
        <w:rPr>
          <w:noProof/>
        </w:rPr>
        <mc:AlternateContent>
          <mc:Choice Requires="wps">
            <w:drawing>
              <wp:anchor distT="0" distB="0" distL="114300" distR="114300" simplePos="0" relativeHeight="251678720" behindDoc="0" locked="0" layoutInCell="1" allowOverlap="1" wp14:anchorId="53A90AD2" wp14:editId="415ADB58">
                <wp:simplePos x="0" y="0"/>
                <wp:positionH relativeFrom="margin">
                  <wp:posOffset>-15240</wp:posOffset>
                </wp:positionH>
                <wp:positionV relativeFrom="paragraph">
                  <wp:posOffset>257810</wp:posOffset>
                </wp:positionV>
                <wp:extent cx="6324600" cy="1384935"/>
                <wp:effectExtent l="0" t="0" r="19050"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384935"/>
                        </a:xfrm>
                        <a:prstGeom prst="rect">
                          <a:avLst/>
                        </a:prstGeom>
                        <a:solidFill>
                          <a:srgbClr val="FFFFFF"/>
                        </a:solidFill>
                        <a:ln w="9525">
                          <a:solidFill>
                            <a:srgbClr val="000000"/>
                          </a:solidFill>
                          <a:miter lim="800000"/>
                          <a:headEnd/>
                          <a:tailEnd/>
                        </a:ln>
                      </wps:spPr>
                      <wps:txbx>
                        <w:txbxContent>
                          <w:p w14:paraId="58F6515C" w14:textId="77777777" w:rsidR="00BC34D7" w:rsidRPr="00494AAB" w:rsidRDefault="00BC34D7" w:rsidP="00BC34D7">
                            <w:pPr>
                              <w:pStyle w:val="NoSpacing"/>
                              <w:rPr>
                                <w:sz w:val="20"/>
                                <w:szCs w:val="20"/>
                              </w:rPr>
                            </w:pPr>
                            <w:r w:rsidRPr="00494AAB">
                              <w:rPr>
                                <w:sz w:val="20"/>
                                <w:szCs w:val="20"/>
                              </w:rPr>
                              <w:t xml:space="preserve">GPE’s support has achieved the following results in partner countries: </w:t>
                            </w:r>
                          </w:p>
                          <w:p w14:paraId="7C9C2144" w14:textId="77777777" w:rsidR="00BC34D7" w:rsidRPr="00494AAB" w:rsidRDefault="00BC34D7" w:rsidP="00BC34D7">
                            <w:pPr>
                              <w:pStyle w:val="NoSpacing"/>
                              <w:numPr>
                                <w:ilvl w:val="0"/>
                                <w:numId w:val="11"/>
                              </w:numPr>
                              <w:rPr>
                                <w:sz w:val="20"/>
                                <w:szCs w:val="20"/>
                              </w:rPr>
                            </w:pPr>
                            <w:r w:rsidRPr="00494AAB">
                              <w:rPr>
                                <w:sz w:val="20"/>
                                <w:szCs w:val="20"/>
                              </w:rPr>
                              <w:t>72 million more children in primary school in 2015 compared with 2002</w:t>
                            </w:r>
                          </w:p>
                          <w:p w14:paraId="0CB52EA8" w14:textId="77777777" w:rsidR="00BC34D7" w:rsidRPr="00494AAB" w:rsidRDefault="00BC34D7" w:rsidP="00BC34D7">
                            <w:pPr>
                              <w:pStyle w:val="NoSpacing"/>
                              <w:numPr>
                                <w:ilvl w:val="0"/>
                                <w:numId w:val="11"/>
                              </w:numPr>
                              <w:rPr>
                                <w:sz w:val="20"/>
                                <w:szCs w:val="20"/>
                              </w:rPr>
                            </w:pPr>
                            <w:r w:rsidRPr="00494AAB">
                              <w:rPr>
                                <w:sz w:val="20"/>
                                <w:szCs w:val="20"/>
                              </w:rPr>
                              <w:t>76</w:t>
                            </w:r>
                            <w:r>
                              <w:rPr>
                                <w:sz w:val="20"/>
                                <w:szCs w:val="20"/>
                              </w:rPr>
                              <w:t>%</w:t>
                            </w:r>
                            <w:r w:rsidRPr="00494AAB">
                              <w:rPr>
                                <w:sz w:val="20"/>
                                <w:szCs w:val="20"/>
                              </w:rPr>
                              <w:t xml:space="preserve"> completed primary school in 2015 compared with 63</w:t>
                            </w:r>
                            <w:r>
                              <w:rPr>
                                <w:sz w:val="20"/>
                                <w:szCs w:val="20"/>
                              </w:rPr>
                              <w:t>%</w:t>
                            </w:r>
                            <w:r w:rsidRPr="00494AAB">
                              <w:rPr>
                                <w:sz w:val="20"/>
                                <w:szCs w:val="20"/>
                              </w:rPr>
                              <w:t xml:space="preserve"> in 2002 </w:t>
                            </w:r>
                          </w:p>
                          <w:p w14:paraId="1DCBADBD" w14:textId="77777777" w:rsidR="00BC34D7" w:rsidRPr="00494AAB" w:rsidRDefault="00BC34D7" w:rsidP="00BC34D7">
                            <w:pPr>
                              <w:pStyle w:val="NoSpacing"/>
                              <w:numPr>
                                <w:ilvl w:val="0"/>
                                <w:numId w:val="11"/>
                              </w:numPr>
                              <w:rPr>
                                <w:sz w:val="20"/>
                                <w:szCs w:val="20"/>
                              </w:rPr>
                            </w:pPr>
                            <w:r w:rsidRPr="00494AAB">
                              <w:rPr>
                                <w:sz w:val="20"/>
                                <w:szCs w:val="20"/>
                              </w:rPr>
                              <w:t>74</w:t>
                            </w:r>
                            <w:r>
                              <w:rPr>
                                <w:sz w:val="20"/>
                                <w:szCs w:val="20"/>
                              </w:rPr>
                              <w:t>%</w:t>
                            </w:r>
                            <w:r w:rsidRPr="00494AAB">
                              <w:rPr>
                                <w:sz w:val="20"/>
                                <w:szCs w:val="20"/>
                              </w:rPr>
                              <w:t xml:space="preserve"> primary completion rates for girls in 2015 compared with 57</w:t>
                            </w:r>
                            <w:r>
                              <w:rPr>
                                <w:sz w:val="20"/>
                                <w:szCs w:val="20"/>
                              </w:rPr>
                              <w:t>%</w:t>
                            </w:r>
                            <w:r w:rsidRPr="00494AAB">
                              <w:rPr>
                                <w:sz w:val="20"/>
                                <w:szCs w:val="20"/>
                              </w:rPr>
                              <w:t xml:space="preserve"> in 2002 </w:t>
                            </w:r>
                          </w:p>
                          <w:p w14:paraId="29D4E2CF" w14:textId="77777777" w:rsidR="00BC34D7" w:rsidRPr="00494AAB" w:rsidRDefault="00BC34D7" w:rsidP="00BC34D7">
                            <w:pPr>
                              <w:pStyle w:val="NoSpacing"/>
                              <w:numPr>
                                <w:ilvl w:val="0"/>
                                <w:numId w:val="11"/>
                              </w:numPr>
                              <w:ind w:right="223"/>
                              <w:rPr>
                                <w:sz w:val="20"/>
                                <w:szCs w:val="20"/>
                              </w:rPr>
                            </w:pPr>
                            <w:r w:rsidRPr="00494AAB">
                              <w:rPr>
                                <w:sz w:val="20"/>
                                <w:szCs w:val="20"/>
                              </w:rPr>
                              <w:t>50</w:t>
                            </w:r>
                            <w:r>
                              <w:rPr>
                                <w:sz w:val="20"/>
                                <w:szCs w:val="20"/>
                              </w:rPr>
                              <w:t>%</w:t>
                            </w:r>
                            <w:r w:rsidRPr="00494AAB">
                              <w:rPr>
                                <w:sz w:val="20"/>
                                <w:szCs w:val="20"/>
                              </w:rPr>
                              <w:t xml:space="preserve"> lower-secondary school completion rates in 2015 compared with 38</w:t>
                            </w:r>
                            <w:r>
                              <w:rPr>
                                <w:sz w:val="20"/>
                                <w:szCs w:val="20"/>
                              </w:rPr>
                              <w:t>%</w:t>
                            </w:r>
                            <w:r w:rsidRPr="00494AAB">
                              <w:rPr>
                                <w:sz w:val="20"/>
                                <w:szCs w:val="20"/>
                              </w:rPr>
                              <w:t xml:space="preserve"> in 2002 (and from 35</w:t>
                            </w:r>
                            <w:r>
                              <w:rPr>
                                <w:sz w:val="20"/>
                                <w:szCs w:val="20"/>
                              </w:rPr>
                              <w:t>%</w:t>
                            </w:r>
                            <w:r w:rsidRPr="00494AAB">
                              <w:rPr>
                                <w:sz w:val="20"/>
                                <w:szCs w:val="20"/>
                              </w:rPr>
                              <w:t xml:space="preserve"> to 48</w:t>
                            </w:r>
                            <w:r>
                              <w:rPr>
                                <w:sz w:val="20"/>
                                <w:szCs w:val="20"/>
                              </w:rPr>
                              <w:t>%</w:t>
                            </w:r>
                            <w:r w:rsidRPr="00494AAB">
                              <w:rPr>
                                <w:sz w:val="20"/>
                                <w:szCs w:val="20"/>
                              </w:rPr>
                              <w:t xml:space="preserve"> for girls) </w:t>
                            </w:r>
                          </w:p>
                          <w:p w14:paraId="670DED0C" w14:textId="77777777" w:rsidR="00BC34D7" w:rsidRPr="00494AAB" w:rsidRDefault="00BC34D7" w:rsidP="00BC34D7">
                            <w:pPr>
                              <w:pStyle w:val="FootnoteText"/>
                              <w:rPr>
                                <w:rFonts w:asciiTheme="majorHAnsi" w:hAnsiTheme="majorHAnsi" w:cstheme="majorHAnsi"/>
                                <w:sz w:val="20"/>
                                <w:szCs w:val="20"/>
                              </w:rPr>
                            </w:pPr>
                          </w:p>
                          <w:p w14:paraId="1C4BDB00" w14:textId="77777777" w:rsidR="00BC34D7" w:rsidRPr="00494AAB" w:rsidRDefault="00BC34D7" w:rsidP="00BC34D7">
                            <w:pPr>
                              <w:pStyle w:val="FootnoteText"/>
                              <w:rPr>
                                <w:rFonts w:asciiTheme="majorHAnsi" w:hAnsiTheme="majorHAnsi" w:cstheme="majorHAnsi"/>
                                <w:sz w:val="20"/>
                                <w:szCs w:val="20"/>
                                <w:lang w:val="en-GB"/>
                              </w:rPr>
                            </w:pPr>
                            <w:r w:rsidRPr="00494AAB">
                              <w:rPr>
                                <w:rFonts w:asciiTheme="majorHAnsi" w:hAnsiTheme="majorHAnsi" w:cstheme="majorHAnsi"/>
                                <w:sz w:val="20"/>
                                <w:szCs w:val="20"/>
                              </w:rPr>
                              <w:t xml:space="preserve">See GPE’s Case for Investment: </w:t>
                            </w:r>
                            <w:hyperlink r:id="rId10" w:history="1">
                              <w:r w:rsidRPr="00494AAB">
                                <w:rPr>
                                  <w:rStyle w:val="Hyperlink"/>
                                  <w:rFonts w:asciiTheme="majorHAnsi" w:hAnsiTheme="majorHAnsi" w:cstheme="majorHAnsi"/>
                                  <w:sz w:val="20"/>
                                  <w:szCs w:val="20"/>
                                </w:rPr>
                                <w:t>https://replenishment.globalpartnership.org/en/case-for-investment/</w:t>
                              </w:r>
                            </w:hyperlink>
                            <w:r w:rsidRPr="00494AAB">
                              <w:rPr>
                                <w:rFonts w:asciiTheme="majorHAnsi" w:hAnsiTheme="majorHAnsi" w:cstheme="majorHAnsi"/>
                                <w:sz w:val="20"/>
                                <w:szCs w:val="20"/>
                              </w:rPr>
                              <w:t xml:space="preserve"> </w:t>
                            </w:r>
                          </w:p>
                          <w:p w14:paraId="251D4939" w14:textId="77777777" w:rsidR="00BC34D7" w:rsidRPr="006D66AB" w:rsidRDefault="00BC34D7" w:rsidP="00BC34D7">
                            <w:pPr>
                              <w:pStyle w:val="No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90AD2" id="_x0000_s1027" type="#_x0000_t202" style="position:absolute;margin-left:-1.2pt;margin-top:20.3pt;width:498pt;height:109.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">
                <v:textbox>
                  <w:txbxContent>
                    <w:p w14:paraId="58F6515C" w14:textId="77777777" w:rsidR="00BC34D7" w:rsidRPr="00494AAB" w:rsidRDefault="00BC34D7" w:rsidP="00BC34D7">
                      <w:pPr>
                        <w:pStyle w:val="NoSpacing"/>
                        <w:rPr>
                          <w:sz w:val="20"/>
                          <w:szCs w:val="20"/>
                        </w:rPr>
                      </w:pPr>
                      <w:r w:rsidRPr="00494AAB">
                        <w:rPr>
                          <w:sz w:val="20"/>
                          <w:szCs w:val="20"/>
                        </w:rPr>
                        <w:t xml:space="preserve">GPE’s support has achieved the following results in partner countries: </w:t>
                      </w:r>
                    </w:p>
                    <w:p w14:paraId="7C9C2144" w14:textId="77777777" w:rsidR="00BC34D7" w:rsidRPr="00494AAB" w:rsidRDefault="00BC34D7" w:rsidP="00BC34D7">
                      <w:pPr>
                        <w:pStyle w:val="NoSpacing"/>
                        <w:numPr>
                          <w:ilvl w:val="0"/>
                          <w:numId w:val="11"/>
                        </w:numPr>
                        <w:rPr>
                          <w:sz w:val="20"/>
                          <w:szCs w:val="20"/>
                        </w:rPr>
                      </w:pPr>
                      <w:r w:rsidRPr="00494AAB">
                        <w:rPr>
                          <w:sz w:val="20"/>
                          <w:szCs w:val="20"/>
                        </w:rPr>
                        <w:t>72 million more children in primary school in 2015 compared with 2002</w:t>
                      </w:r>
                    </w:p>
                    <w:p w14:paraId="0CB52EA8" w14:textId="77777777" w:rsidR="00BC34D7" w:rsidRPr="00494AAB" w:rsidRDefault="00BC34D7" w:rsidP="00BC34D7">
                      <w:pPr>
                        <w:pStyle w:val="NoSpacing"/>
                        <w:numPr>
                          <w:ilvl w:val="0"/>
                          <w:numId w:val="11"/>
                        </w:numPr>
                        <w:rPr>
                          <w:sz w:val="20"/>
                          <w:szCs w:val="20"/>
                        </w:rPr>
                      </w:pPr>
                      <w:r w:rsidRPr="00494AAB">
                        <w:rPr>
                          <w:sz w:val="20"/>
                          <w:szCs w:val="20"/>
                        </w:rPr>
                        <w:t>76</w:t>
                      </w:r>
                      <w:r>
                        <w:rPr>
                          <w:sz w:val="20"/>
                          <w:szCs w:val="20"/>
                        </w:rPr>
                        <w:t>%</w:t>
                      </w:r>
                      <w:r w:rsidRPr="00494AAB">
                        <w:rPr>
                          <w:sz w:val="20"/>
                          <w:szCs w:val="20"/>
                        </w:rPr>
                        <w:t xml:space="preserve"> completed primary school in 2015 compared with 63</w:t>
                      </w:r>
                      <w:r>
                        <w:rPr>
                          <w:sz w:val="20"/>
                          <w:szCs w:val="20"/>
                        </w:rPr>
                        <w:t>%</w:t>
                      </w:r>
                      <w:r w:rsidRPr="00494AAB">
                        <w:rPr>
                          <w:sz w:val="20"/>
                          <w:szCs w:val="20"/>
                        </w:rPr>
                        <w:t xml:space="preserve"> in 2002 </w:t>
                      </w:r>
                    </w:p>
                    <w:p w14:paraId="1DCBADBD" w14:textId="77777777" w:rsidR="00BC34D7" w:rsidRPr="00494AAB" w:rsidRDefault="00BC34D7" w:rsidP="00BC34D7">
                      <w:pPr>
                        <w:pStyle w:val="NoSpacing"/>
                        <w:numPr>
                          <w:ilvl w:val="0"/>
                          <w:numId w:val="11"/>
                        </w:numPr>
                        <w:rPr>
                          <w:sz w:val="20"/>
                          <w:szCs w:val="20"/>
                        </w:rPr>
                      </w:pPr>
                      <w:r w:rsidRPr="00494AAB">
                        <w:rPr>
                          <w:sz w:val="20"/>
                          <w:szCs w:val="20"/>
                        </w:rPr>
                        <w:t>74</w:t>
                      </w:r>
                      <w:r>
                        <w:rPr>
                          <w:sz w:val="20"/>
                          <w:szCs w:val="20"/>
                        </w:rPr>
                        <w:t>%</w:t>
                      </w:r>
                      <w:r w:rsidRPr="00494AAB">
                        <w:rPr>
                          <w:sz w:val="20"/>
                          <w:szCs w:val="20"/>
                        </w:rPr>
                        <w:t xml:space="preserve"> primary completion rates for girls in 2015 compared with 57</w:t>
                      </w:r>
                      <w:r>
                        <w:rPr>
                          <w:sz w:val="20"/>
                          <w:szCs w:val="20"/>
                        </w:rPr>
                        <w:t>%</w:t>
                      </w:r>
                      <w:r w:rsidRPr="00494AAB">
                        <w:rPr>
                          <w:sz w:val="20"/>
                          <w:szCs w:val="20"/>
                        </w:rPr>
                        <w:t xml:space="preserve"> in 2002 </w:t>
                      </w:r>
                    </w:p>
                    <w:p w14:paraId="29D4E2CF" w14:textId="77777777" w:rsidR="00BC34D7" w:rsidRPr="00494AAB" w:rsidRDefault="00BC34D7" w:rsidP="00BC34D7">
                      <w:pPr>
                        <w:pStyle w:val="NoSpacing"/>
                        <w:numPr>
                          <w:ilvl w:val="0"/>
                          <w:numId w:val="11"/>
                        </w:numPr>
                        <w:ind w:right="223"/>
                        <w:rPr>
                          <w:sz w:val="20"/>
                          <w:szCs w:val="20"/>
                        </w:rPr>
                      </w:pPr>
                      <w:r w:rsidRPr="00494AAB">
                        <w:rPr>
                          <w:sz w:val="20"/>
                          <w:szCs w:val="20"/>
                        </w:rPr>
                        <w:t>50</w:t>
                      </w:r>
                      <w:r>
                        <w:rPr>
                          <w:sz w:val="20"/>
                          <w:szCs w:val="20"/>
                        </w:rPr>
                        <w:t>%</w:t>
                      </w:r>
                      <w:r w:rsidRPr="00494AAB">
                        <w:rPr>
                          <w:sz w:val="20"/>
                          <w:szCs w:val="20"/>
                        </w:rPr>
                        <w:t xml:space="preserve"> lower-secondary school completion rates in 2015 compared with 38</w:t>
                      </w:r>
                      <w:r>
                        <w:rPr>
                          <w:sz w:val="20"/>
                          <w:szCs w:val="20"/>
                        </w:rPr>
                        <w:t>%</w:t>
                      </w:r>
                      <w:r w:rsidRPr="00494AAB">
                        <w:rPr>
                          <w:sz w:val="20"/>
                          <w:szCs w:val="20"/>
                        </w:rPr>
                        <w:t xml:space="preserve"> in 2002 (and from 35</w:t>
                      </w:r>
                      <w:r>
                        <w:rPr>
                          <w:sz w:val="20"/>
                          <w:szCs w:val="20"/>
                        </w:rPr>
                        <w:t>%</w:t>
                      </w:r>
                      <w:r w:rsidRPr="00494AAB">
                        <w:rPr>
                          <w:sz w:val="20"/>
                          <w:szCs w:val="20"/>
                        </w:rPr>
                        <w:t xml:space="preserve"> to 48</w:t>
                      </w:r>
                      <w:r>
                        <w:rPr>
                          <w:sz w:val="20"/>
                          <w:szCs w:val="20"/>
                        </w:rPr>
                        <w:t>%</w:t>
                      </w:r>
                      <w:r w:rsidRPr="00494AAB">
                        <w:rPr>
                          <w:sz w:val="20"/>
                          <w:szCs w:val="20"/>
                        </w:rPr>
                        <w:t xml:space="preserve"> for girls) </w:t>
                      </w:r>
                    </w:p>
                    <w:p w14:paraId="670DED0C" w14:textId="77777777" w:rsidR="00BC34D7" w:rsidRPr="00494AAB" w:rsidRDefault="00BC34D7" w:rsidP="00BC34D7">
                      <w:pPr>
                        <w:pStyle w:val="FootnoteText"/>
                        <w:rPr>
                          <w:rFonts w:asciiTheme="majorHAnsi" w:hAnsiTheme="majorHAnsi" w:cstheme="majorHAnsi"/>
                          <w:sz w:val="20"/>
                          <w:szCs w:val="20"/>
                        </w:rPr>
                      </w:pPr>
                    </w:p>
                    <w:p w14:paraId="1C4BDB00" w14:textId="77777777" w:rsidR="00BC34D7" w:rsidRPr="00494AAB" w:rsidRDefault="00BC34D7" w:rsidP="00BC34D7">
                      <w:pPr>
                        <w:pStyle w:val="FootnoteText"/>
                        <w:rPr>
                          <w:rFonts w:asciiTheme="majorHAnsi" w:hAnsiTheme="majorHAnsi" w:cstheme="majorHAnsi"/>
                          <w:sz w:val="20"/>
                          <w:szCs w:val="20"/>
                          <w:lang w:val="en-GB"/>
                        </w:rPr>
                      </w:pPr>
                      <w:r w:rsidRPr="00494AAB">
                        <w:rPr>
                          <w:rFonts w:asciiTheme="majorHAnsi" w:hAnsiTheme="majorHAnsi" w:cstheme="majorHAnsi"/>
                          <w:sz w:val="20"/>
                          <w:szCs w:val="20"/>
                        </w:rPr>
                        <w:t xml:space="preserve">See GPE’s Case for Investment: </w:t>
                      </w:r>
                      <w:hyperlink r:id="rId11" w:history="1">
                        <w:r w:rsidRPr="00494AAB">
                          <w:rPr>
                            <w:rStyle w:val="Hyperlink"/>
                            <w:rFonts w:asciiTheme="majorHAnsi" w:hAnsiTheme="majorHAnsi" w:cstheme="majorHAnsi"/>
                            <w:sz w:val="20"/>
                            <w:szCs w:val="20"/>
                          </w:rPr>
                          <w:t>https://replenishment.globalpartnership.org/en/case-for-investment/</w:t>
                        </w:r>
                      </w:hyperlink>
                      <w:r w:rsidRPr="00494AAB">
                        <w:rPr>
                          <w:rFonts w:asciiTheme="majorHAnsi" w:hAnsiTheme="majorHAnsi" w:cstheme="majorHAnsi"/>
                          <w:sz w:val="20"/>
                          <w:szCs w:val="20"/>
                        </w:rPr>
                        <w:t xml:space="preserve"> </w:t>
                      </w:r>
                    </w:p>
                    <w:p w14:paraId="251D4939" w14:textId="77777777" w:rsidR="00BC34D7" w:rsidRPr="006D66AB" w:rsidRDefault="00BC34D7" w:rsidP="00BC34D7">
                      <w:pPr>
                        <w:pStyle w:val="NoSpacing"/>
                        <w:rPr>
                          <w:sz w:val="20"/>
                          <w:szCs w:val="20"/>
                        </w:rPr>
                      </w:pPr>
                    </w:p>
                  </w:txbxContent>
                </v:textbox>
                <w10:wrap type="square" anchorx="margin"/>
              </v:shape>
            </w:pict>
          </mc:Fallback>
        </mc:AlternateContent>
      </w:r>
    </w:p>
    <w:p w14:paraId="1E8E6CF2" w14:textId="77777777" w:rsidR="00BC34D7" w:rsidRDefault="00BC34D7" w:rsidP="00EF4163">
      <w:pPr>
        <w:pStyle w:val="NoSpacing"/>
        <w:rPr>
          <w:b/>
        </w:rPr>
      </w:pPr>
    </w:p>
    <w:p w14:paraId="256D0A4D" w14:textId="77777777" w:rsidR="00394BFC" w:rsidRDefault="00394BFC" w:rsidP="00EF4163">
      <w:pPr>
        <w:pStyle w:val="NoSpacing"/>
        <w:rPr>
          <w:b/>
        </w:rPr>
      </w:pPr>
    </w:p>
    <w:p w14:paraId="6C667847" w14:textId="40C29FAB" w:rsidR="0038652B" w:rsidRPr="00EF4163" w:rsidRDefault="008B7274" w:rsidP="00EF4163">
      <w:pPr>
        <w:pStyle w:val="NoSpacing"/>
        <w:rPr>
          <w:b/>
        </w:rPr>
      </w:pPr>
      <w:r>
        <w:rPr>
          <w:b/>
        </w:rPr>
        <w:t xml:space="preserve">DEVELOPING COUNTRY PARTNER </w:t>
      </w:r>
      <w:r w:rsidR="0038652B">
        <w:rPr>
          <w:b/>
        </w:rPr>
        <w:t>COMMITMENTS AT THE</w:t>
      </w:r>
      <w:r w:rsidR="0038652B" w:rsidRPr="00EF4163">
        <w:rPr>
          <w:b/>
        </w:rPr>
        <w:t xml:space="preserve"> </w:t>
      </w:r>
      <w:r w:rsidR="0038652B">
        <w:rPr>
          <w:b/>
        </w:rPr>
        <w:t>GPE FINANCING CONFERENCE</w:t>
      </w:r>
    </w:p>
    <w:p w14:paraId="787CD0FE" w14:textId="653F1869" w:rsidR="0038652B" w:rsidRDefault="0038652B" w:rsidP="0017493A">
      <w:pPr>
        <w:autoSpaceDE w:val="0"/>
        <w:autoSpaceDN w:val="0"/>
        <w:adjustRightInd w:val="0"/>
        <w:spacing w:after="0" w:line="240" w:lineRule="auto"/>
        <w:jc w:val="both"/>
        <w:rPr>
          <w:rFonts w:cstheme="minorHAnsi"/>
        </w:rPr>
      </w:pPr>
      <w:r>
        <w:rPr>
          <w:rFonts w:cstheme="minorHAnsi"/>
        </w:rPr>
        <w:t xml:space="preserve">The Global Campaign for Education is calling for a </w:t>
      </w:r>
      <w:r w:rsidRPr="00D402CA">
        <w:rPr>
          <w:rFonts w:cstheme="minorHAnsi"/>
        </w:rPr>
        <w:t>significant breakthrough in mobilising new domestic resource commitments for education</w:t>
      </w:r>
      <w:r>
        <w:rPr>
          <w:rFonts w:cstheme="minorHAnsi"/>
        </w:rPr>
        <w:t xml:space="preserve"> at the GPE Financing Conference. GPE has a unique approach, in which developing country partners are incentivised to increase financing through a</w:t>
      </w:r>
      <w:r w:rsidRPr="00D402CA">
        <w:rPr>
          <w:rFonts w:cstheme="minorHAnsi"/>
        </w:rPr>
        <w:t xml:space="preserve"> results-based funding model.</w:t>
      </w:r>
      <w:r w:rsidRPr="00D402CA">
        <w:rPr>
          <w:rStyle w:val="EndnoteReference"/>
          <w:rFonts w:cstheme="minorHAnsi"/>
        </w:rPr>
        <w:endnoteReference w:id="14"/>
      </w:r>
      <w:bookmarkStart w:id="11" w:name="_Hlk493181831"/>
      <w:r>
        <w:rPr>
          <w:rFonts w:cstheme="minorHAnsi"/>
        </w:rPr>
        <w:t xml:space="preserve"> As a commitment to the partnership at the February </w:t>
      </w:r>
      <w:r w:rsidR="00712521">
        <w:rPr>
          <w:rFonts w:cstheme="minorHAnsi"/>
        </w:rPr>
        <w:t>2nd</w:t>
      </w:r>
      <w:r>
        <w:rPr>
          <w:rFonts w:cstheme="minorHAnsi"/>
        </w:rPr>
        <w:t xml:space="preserve"> Financing Conference, all developing country partners will be expected to make a pledge. </w:t>
      </w:r>
      <w:r>
        <w:rPr>
          <w:rFonts w:cs="Calibri"/>
        </w:rPr>
        <w:t xml:space="preserve">Symbolic of this unique approach, the </w:t>
      </w:r>
      <w:r w:rsidR="003C79E4">
        <w:rPr>
          <w:rFonts w:cs="Calibri"/>
        </w:rPr>
        <w:t>GPE f</w:t>
      </w:r>
      <w:r>
        <w:rPr>
          <w:rFonts w:cs="Calibri"/>
        </w:rPr>
        <w:t>inancing conference</w:t>
      </w:r>
      <w:r w:rsidR="003C79E4">
        <w:rPr>
          <w:rFonts w:cs="Calibri"/>
        </w:rPr>
        <w:t>,</w:t>
      </w:r>
      <w:r>
        <w:rPr>
          <w:rFonts w:cs="Calibri"/>
        </w:rPr>
        <w:t xml:space="preserve"> will be the</w:t>
      </w:r>
      <w:r w:rsidRPr="005A48CD">
        <w:rPr>
          <w:rFonts w:cs="Calibri"/>
        </w:rPr>
        <w:t xml:space="preserve"> first time that such a global fund replenishment has taken place in a developing country. This offers an incredible opportunity for developing countries to lead the way, and for donors and the international community to build on their efforts</w:t>
      </w:r>
      <w:r>
        <w:rPr>
          <w:rFonts w:cs="Calibri"/>
        </w:rPr>
        <w:t>.</w:t>
      </w:r>
      <w:bookmarkEnd w:id="11"/>
      <w:r>
        <w:rPr>
          <w:rFonts w:cs="Calibri"/>
        </w:rPr>
        <w:t xml:space="preserve"> </w:t>
      </w:r>
    </w:p>
    <w:p w14:paraId="00F46187" w14:textId="77777777" w:rsidR="0038652B" w:rsidRDefault="0038652B" w:rsidP="0017493A">
      <w:pPr>
        <w:autoSpaceDE w:val="0"/>
        <w:autoSpaceDN w:val="0"/>
        <w:adjustRightInd w:val="0"/>
        <w:spacing w:after="0" w:line="240" w:lineRule="auto"/>
        <w:jc w:val="both"/>
        <w:rPr>
          <w:rFonts w:cstheme="minorHAnsi"/>
        </w:rPr>
      </w:pPr>
    </w:p>
    <w:p w14:paraId="1E28B3F6" w14:textId="62DDB419" w:rsidR="0038652B" w:rsidRDefault="0038652B" w:rsidP="006D66AB">
      <w:pPr>
        <w:autoSpaceDE w:val="0"/>
        <w:autoSpaceDN w:val="0"/>
        <w:adjustRightInd w:val="0"/>
        <w:spacing w:after="0" w:line="240" w:lineRule="auto"/>
        <w:jc w:val="both"/>
        <w:rPr>
          <w:rFonts w:cstheme="minorHAnsi"/>
        </w:rPr>
      </w:pPr>
      <w:r w:rsidRPr="005F2632">
        <w:rPr>
          <w:rFonts w:cstheme="minorHAnsi"/>
          <w:noProof/>
        </w:rPr>
        <w:lastRenderedPageBreak/>
        <mc:AlternateContent>
          <mc:Choice Requires="wps">
            <w:drawing>
              <wp:anchor distT="45720" distB="45720" distL="114300" distR="114300" simplePos="0" relativeHeight="251673600" behindDoc="0" locked="0" layoutInCell="1" allowOverlap="1" wp14:anchorId="6E530576" wp14:editId="72071A51">
                <wp:simplePos x="0" y="0"/>
                <wp:positionH relativeFrom="column">
                  <wp:posOffset>3659505</wp:posOffset>
                </wp:positionH>
                <wp:positionV relativeFrom="paragraph">
                  <wp:posOffset>0</wp:posOffset>
                </wp:positionV>
                <wp:extent cx="2606040" cy="860425"/>
                <wp:effectExtent l="0" t="0" r="22860"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860425"/>
                        </a:xfrm>
                        <a:prstGeom prst="rect">
                          <a:avLst/>
                        </a:prstGeom>
                        <a:solidFill>
                          <a:schemeClr val="accent6">
                            <a:lumMod val="60000"/>
                            <a:lumOff val="40000"/>
                          </a:schemeClr>
                        </a:solidFill>
                        <a:ln w="9525">
                          <a:solidFill>
                            <a:schemeClr val="accent6">
                              <a:lumMod val="75000"/>
                            </a:schemeClr>
                          </a:solidFill>
                          <a:miter lim="800000"/>
                          <a:headEnd/>
                          <a:tailEnd/>
                        </a:ln>
                      </wps:spPr>
                      <wps:txbx>
                        <w:txbxContent>
                          <w:p w14:paraId="04E1BB2F" w14:textId="58F58939" w:rsidR="0038652B" w:rsidRDefault="008B7274" w:rsidP="00587034">
                            <w:pPr>
                              <w:jc w:val="center"/>
                            </w:pPr>
                            <w:r>
                              <w:t xml:space="preserve">Download the </w:t>
                            </w:r>
                            <w:hyperlink r:id="rId12" w:history="1">
                              <w:r w:rsidR="00394BFC" w:rsidRPr="00394BFC">
                                <w:rPr>
                                  <w:rStyle w:val="Hyperlink"/>
                                </w:rPr>
                                <w:t>C</w:t>
                              </w:r>
                              <w:r w:rsidRPr="00394BFC">
                                <w:rPr>
                                  <w:rStyle w:val="Hyperlink"/>
                                </w:rPr>
                                <w:t xml:space="preserve">ompact on </w:t>
                              </w:r>
                              <w:r w:rsidR="00394BFC" w:rsidRPr="00394BFC">
                                <w:rPr>
                                  <w:rStyle w:val="Hyperlink"/>
                                </w:rPr>
                                <w:t>D</w:t>
                              </w:r>
                              <w:r w:rsidRPr="00394BFC">
                                <w:rPr>
                                  <w:rStyle w:val="Hyperlink"/>
                                </w:rPr>
                                <w:t xml:space="preserve">omestic </w:t>
                              </w:r>
                              <w:r w:rsidR="00394BFC" w:rsidRPr="00394BFC">
                                <w:rPr>
                                  <w:rStyle w:val="Hyperlink"/>
                                </w:rPr>
                                <w:t>F</w:t>
                              </w:r>
                              <w:r w:rsidRPr="00394BFC">
                                <w:rPr>
                                  <w:rStyle w:val="Hyperlink"/>
                                </w:rPr>
                                <w:t>inance</w:t>
                              </w:r>
                            </w:hyperlink>
                            <w:r>
                              <w:t xml:space="preserve"> to find out more about GCE’s position on developing country partners commitments in Dakar.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30576" id="_x0000_s1028" type="#_x0000_t202" style="position:absolute;left:0;text-align:left;margin-left:288.15pt;margin-top:0;width:205.2pt;height:67.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" fillcolor="#a8d08d [1945]" strokecolor="#538135 [2409]">
                <v:textbox>
                  <w:txbxContent>
                    <w:p w14:paraId="04E1BB2F" w14:textId="58F58939" w:rsidR="0038652B" w:rsidRDefault="008B7274" w:rsidP="00587034">
                      <w:pPr>
                        <w:jc w:val="center"/>
                      </w:pPr>
                      <w:r>
                        <w:t xml:space="preserve">Download the </w:t>
                      </w:r>
                      <w:hyperlink r:id="rId13" w:history="1">
                        <w:r w:rsidR="00394BFC" w:rsidRPr="00394BFC">
                          <w:rPr>
                            <w:rStyle w:val="Hyperlink"/>
                          </w:rPr>
                          <w:t>C</w:t>
                        </w:r>
                        <w:r w:rsidRPr="00394BFC">
                          <w:rPr>
                            <w:rStyle w:val="Hyperlink"/>
                          </w:rPr>
                          <w:t xml:space="preserve">ompact on </w:t>
                        </w:r>
                        <w:r w:rsidR="00394BFC" w:rsidRPr="00394BFC">
                          <w:rPr>
                            <w:rStyle w:val="Hyperlink"/>
                          </w:rPr>
                          <w:t>D</w:t>
                        </w:r>
                        <w:r w:rsidRPr="00394BFC">
                          <w:rPr>
                            <w:rStyle w:val="Hyperlink"/>
                          </w:rPr>
                          <w:t xml:space="preserve">omestic </w:t>
                        </w:r>
                        <w:r w:rsidR="00394BFC" w:rsidRPr="00394BFC">
                          <w:rPr>
                            <w:rStyle w:val="Hyperlink"/>
                          </w:rPr>
                          <w:t>F</w:t>
                        </w:r>
                        <w:r w:rsidRPr="00394BFC">
                          <w:rPr>
                            <w:rStyle w:val="Hyperlink"/>
                          </w:rPr>
                          <w:t>inance</w:t>
                        </w:r>
                      </w:hyperlink>
                      <w:r>
                        <w:t xml:space="preserve"> to find out more about GCE’s position on developing country partners commitments in Dakar.</w:t>
                      </w:r>
                    </w:p>
                  </w:txbxContent>
                </v:textbox>
                <w10:wrap type="square"/>
              </v:shape>
            </w:pict>
          </mc:Fallback>
        </mc:AlternateContent>
      </w:r>
      <w:r>
        <w:rPr>
          <w:rFonts w:cstheme="minorHAnsi"/>
        </w:rPr>
        <w:t>Securing new commitments to domestic financing particularly matters in education. T</w:t>
      </w:r>
      <w:r w:rsidRPr="00D402CA">
        <w:rPr>
          <w:rFonts w:cstheme="minorHAnsi"/>
        </w:rPr>
        <w:t>he Education Finance Commission report recognised that 97% of the new financing needed to achieve the Sustainable Development Goal on education would need to come from domestic resources.</w:t>
      </w:r>
      <w:r w:rsidRPr="00D402CA">
        <w:rPr>
          <w:rFonts w:cstheme="minorHAnsi"/>
          <w:vertAlign w:val="superscript"/>
        </w:rPr>
        <w:endnoteReference w:id="15"/>
      </w:r>
      <w:r>
        <w:rPr>
          <w:rFonts w:cstheme="minorHAnsi"/>
        </w:rPr>
        <w:t xml:space="preserve"> Yet, while g</w:t>
      </w:r>
      <w:r w:rsidRPr="00D402CA">
        <w:rPr>
          <w:rFonts w:cstheme="minorHAnsi"/>
        </w:rPr>
        <w:t>overnments of low</w:t>
      </w:r>
      <w:r>
        <w:rPr>
          <w:rFonts w:cstheme="minorHAnsi"/>
        </w:rPr>
        <w:t>-</w:t>
      </w:r>
      <w:r w:rsidRPr="00D402CA">
        <w:rPr>
          <w:rFonts w:cstheme="minorHAnsi"/>
        </w:rPr>
        <w:t xml:space="preserve"> and lower</w:t>
      </w:r>
      <w:r>
        <w:rPr>
          <w:rFonts w:cstheme="minorHAnsi"/>
        </w:rPr>
        <w:t>-</w:t>
      </w:r>
      <w:r w:rsidRPr="00D402CA">
        <w:rPr>
          <w:rFonts w:cstheme="minorHAnsi"/>
        </w:rPr>
        <w:t>middle-income countries have increased their spending on education since 2000, there is still a need for a huge scale-up of domestic finance</w:t>
      </w:r>
      <w:r>
        <w:rPr>
          <w:rFonts w:cstheme="minorHAnsi"/>
        </w:rPr>
        <w:t xml:space="preserve"> directed towards education</w:t>
      </w:r>
      <w:r w:rsidRPr="00D402CA">
        <w:rPr>
          <w:rFonts w:cstheme="minorHAnsi"/>
        </w:rPr>
        <w:t>.</w:t>
      </w:r>
      <w:r>
        <w:rPr>
          <w:rStyle w:val="EndnoteReference"/>
          <w:rFonts w:cstheme="minorHAnsi"/>
        </w:rPr>
        <w:endnoteReference w:id="16"/>
      </w:r>
      <w:r w:rsidRPr="00D402CA">
        <w:rPr>
          <w:rFonts w:cstheme="minorHAnsi"/>
        </w:rPr>
        <w:t xml:space="preserve"> </w:t>
      </w:r>
      <w:r>
        <w:rPr>
          <w:rFonts w:cs="Calibri"/>
        </w:rPr>
        <w:t xml:space="preserve">A lack of </w:t>
      </w:r>
      <w:r w:rsidRPr="00D402CA">
        <w:rPr>
          <w:rFonts w:cstheme="minorHAnsi"/>
        </w:rPr>
        <w:t>finance</w:t>
      </w:r>
      <w:r>
        <w:rPr>
          <w:rFonts w:cstheme="minorHAnsi"/>
        </w:rPr>
        <w:t xml:space="preserve"> for education is the result of</w:t>
      </w:r>
      <w:r w:rsidRPr="00D402CA">
        <w:rPr>
          <w:rFonts w:cstheme="minorHAnsi"/>
        </w:rPr>
        <w:t xml:space="preserve"> insufficient prioritisation of education from domestic resources</w:t>
      </w:r>
      <w:bookmarkStart w:id="12" w:name="_Hlk493233642"/>
      <w:r>
        <w:rPr>
          <w:rFonts w:cstheme="minorHAnsi"/>
        </w:rPr>
        <w:t xml:space="preserve">, and </w:t>
      </w:r>
      <w:r w:rsidRPr="00D402CA">
        <w:rPr>
          <w:rFonts w:cstheme="minorHAnsi"/>
        </w:rPr>
        <w:t>weak or regressive tax systems</w:t>
      </w:r>
      <w:r>
        <w:rPr>
          <w:rFonts w:cstheme="minorHAnsi"/>
        </w:rPr>
        <w:t xml:space="preserve">. </w:t>
      </w:r>
    </w:p>
    <w:p w14:paraId="1E598EC4" w14:textId="77777777" w:rsidR="0038652B" w:rsidRDefault="0038652B" w:rsidP="006D66AB">
      <w:pPr>
        <w:autoSpaceDE w:val="0"/>
        <w:autoSpaceDN w:val="0"/>
        <w:adjustRightInd w:val="0"/>
        <w:spacing w:after="0" w:line="240" w:lineRule="auto"/>
        <w:jc w:val="both"/>
        <w:rPr>
          <w:rFonts w:cstheme="minorHAnsi"/>
        </w:rPr>
      </w:pPr>
    </w:p>
    <w:p w14:paraId="7A326029" w14:textId="30110CE9" w:rsidR="0038652B" w:rsidRPr="00B22581" w:rsidRDefault="0038652B" w:rsidP="006D66AB">
      <w:pPr>
        <w:autoSpaceDE w:val="0"/>
        <w:autoSpaceDN w:val="0"/>
        <w:adjustRightInd w:val="0"/>
        <w:spacing w:after="0" w:line="240" w:lineRule="auto"/>
        <w:jc w:val="both"/>
        <w:rPr>
          <w:rFonts w:cstheme="minorHAnsi"/>
        </w:rPr>
      </w:pPr>
      <w:r w:rsidRPr="00D402CA">
        <w:rPr>
          <w:rFonts w:cstheme="minorHAnsi"/>
        </w:rPr>
        <w:t xml:space="preserve">Developing Country Partners </w:t>
      </w:r>
      <w:r>
        <w:rPr>
          <w:rFonts w:cstheme="minorHAnsi"/>
        </w:rPr>
        <w:t>can</w:t>
      </w:r>
      <w:r w:rsidRPr="00D402CA">
        <w:rPr>
          <w:rFonts w:cstheme="minorHAnsi"/>
        </w:rPr>
        <w:t xml:space="preserve"> make t</w:t>
      </w:r>
      <w:r>
        <w:rPr>
          <w:rFonts w:cstheme="minorHAnsi"/>
        </w:rPr>
        <w:t xml:space="preserve">imebound and ambitious pledges towards reversing this in Dakar on </w:t>
      </w:r>
      <w:r w:rsidRPr="00B22581">
        <w:rPr>
          <w:rFonts w:cstheme="minorHAnsi"/>
        </w:rPr>
        <w:t xml:space="preserve">February </w:t>
      </w:r>
      <w:r w:rsidR="00712521">
        <w:rPr>
          <w:rFonts w:cstheme="minorHAnsi"/>
        </w:rPr>
        <w:t>2nd</w:t>
      </w:r>
      <w:r w:rsidRPr="00B22581">
        <w:rPr>
          <w:rFonts w:cstheme="minorHAnsi"/>
        </w:rPr>
        <w:t>. In line with the Education 2030 Framework for Action and the GPE benchmark,</w:t>
      </w:r>
      <w:r w:rsidRPr="00B22581">
        <w:rPr>
          <w:rStyle w:val="EndnoteReference"/>
          <w:rFonts w:cstheme="minorHAnsi"/>
        </w:rPr>
        <w:endnoteReference w:id="17"/>
      </w:r>
      <w:r w:rsidRPr="00B22581">
        <w:rPr>
          <w:rFonts w:cstheme="minorHAnsi"/>
        </w:rPr>
        <w:t xml:space="preserve"> countries should pledge to maintain their budget share allocated to education at, or above, 20%. Countries that fall short</w:t>
      </w:r>
      <w:r w:rsidR="003C79E4">
        <w:rPr>
          <w:rFonts w:cstheme="minorHAnsi"/>
        </w:rPr>
        <w:t>,</w:t>
      </w:r>
      <w:r w:rsidRPr="00B22581">
        <w:rPr>
          <w:rFonts w:cstheme="minorHAnsi"/>
        </w:rPr>
        <w:t xml:space="preserve"> should pledge to make ambitious steps towards increasing their share of the national budget spent on education.</w:t>
      </w:r>
      <w:r w:rsidRPr="00B22581">
        <w:rPr>
          <w:rFonts w:eastAsia="Times New Roman" w:cstheme="minorHAnsi"/>
        </w:rPr>
        <w:t xml:space="preserve"> They should d</w:t>
      </w:r>
      <w:r w:rsidRPr="00B22581">
        <w:rPr>
          <w:rFonts w:cstheme="minorHAnsi"/>
        </w:rPr>
        <w:t>emonstrate how pledges will be financed</w:t>
      </w:r>
      <w:r>
        <w:rPr>
          <w:rFonts w:cstheme="minorHAnsi"/>
        </w:rPr>
        <w:t>;</w:t>
      </w:r>
      <w:r w:rsidRPr="00B22581">
        <w:rPr>
          <w:rFonts w:cstheme="minorHAnsi"/>
        </w:rPr>
        <w:t xml:space="preserve"> this could include a commitment to expanding tax bases in progressive ways, to at least 20% tax to GDP ratio, (for example by ending harmful tax incentives, challenging avoidance, raising new earmarked taxes) and allocating a fair share of those funds to education.</w:t>
      </w:r>
      <w:r>
        <w:rPr>
          <w:rFonts w:cstheme="minorHAnsi"/>
        </w:rPr>
        <w:t xml:space="preserve"> </w:t>
      </w:r>
      <w:r w:rsidRPr="00B22581">
        <w:rPr>
          <w:rFonts w:cstheme="minorHAnsi"/>
        </w:rPr>
        <w:t>Pledges should also be framed in terms of how increased resources might help achieve the GPE 2020 strategic priorities of improving equity, inclusion and quality</w:t>
      </w:r>
      <w:r>
        <w:rPr>
          <w:rFonts w:eastAsia="CalibriBold" w:cstheme="minorHAnsi"/>
          <w:bCs/>
        </w:rPr>
        <w:t xml:space="preserve"> in education.</w:t>
      </w:r>
      <w:r w:rsidRPr="00B22581">
        <w:rPr>
          <w:rFonts w:eastAsia="CalibriBold" w:cstheme="minorHAnsi"/>
          <w:bCs/>
        </w:rPr>
        <w:t xml:space="preserve"> Finally, commitments made must be credible </w:t>
      </w:r>
      <w:r>
        <w:rPr>
          <w:rFonts w:eastAsia="CalibriBold" w:cstheme="minorHAnsi"/>
        </w:rPr>
        <w:t xml:space="preserve">with clear baseline data, evidence-based </w:t>
      </w:r>
      <w:r w:rsidRPr="00B22581">
        <w:rPr>
          <w:rFonts w:eastAsia="CalibriBold" w:cstheme="minorHAnsi"/>
        </w:rPr>
        <w:t>targets and a commitment to track and report on them over time in a fully transparent way.</w:t>
      </w:r>
      <w:r w:rsidRPr="00B22581">
        <w:rPr>
          <w:rFonts w:cstheme="minorHAnsi"/>
        </w:rPr>
        <w:t xml:space="preserve"> </w:t>
      </w:r>
    </w:p>
    <w:bookmarkEnd w:id="12"/>
    <w:p w14:paraId="3C32A912" w14:textId="78C5500D" w:rsidR="0038652B" w:rsidRPr="00B22581" w:rsidRDefault="0038652B" w:rsidP="00EF4163">
      <w:pPr>
        <w:pStyle w:val="NoSpacing"/>
        <w:rPr>
          <w:rFonts w:asciiTheme="minorHAnsi" w:hAnsiTheme="minorHAnsi" w:cstheme="minorHAnsi"/>
          <w:b/>
        </w:rPr>
      </w:pPr>
    </w:p>
    <w:p w14:paraId="449D0686" w14:textId="682908F1" w:rsidR="0038652B" w:rsidRPr="00B22581" w:rsidRDefault="0038652B" w:rsidP="003C79E4">
      <w:pPr>
        <w:pStyle w:val="NoSpacing"/>
        <w:jc w:val="both"/>
        <w:rPr>
          <w:rFonts w:asciiTheme="minorHAnsi" w:hAnsiTheme="minorHAnsi" w:cstheme="minorHAnsi"/>
        </w:rPr>
      </w:pPr>
      <w:r w:rsidRPr="00B22581">
        <w:rPr>
          <w:rFonts w:asciiTheme="minorHAnsi" w:hAnsiTheme="minorHAnsi" w:cstheme="minorHAnsi"/>
        </w:rPr>
        <w:t xml:space="preserve">We know that greater domestic resource mobilisation also needs concerted international efforts to tackle </w:t>
      </w:r>
      <w:r>
        <w:rPr>
          <w:rFonts w:asciiTheme="minorHAnsi" w:hAnsiTheme="minorHAnsi" w:cstheme="minorHAnsi"/>
        </w:rPr>
        <w:t xml:space="preserve">the </w:t>
      </w:r>
      <w:r w:rsidRPr="00B22581">
        <w:rPr>
          <w:rFonts w:asciiTheme="minorHAnsi" w:hAnsiTheme="minorHAnsi" w:cstheme="minorHAnsi"/>
        </w:rPr>
        <w:t xml:space="preserve">unfair tax rules </w:t>
      </w:r>
      <w:r>
        <w:rPr>
          <w:rFonts w:asciiTheme="minorHAnsi" w:hAnsiTheme="minorHAnsi" w:cstheme="minorHAnsi"/>
        </w:rPr>
        <w:t>that</w:t>
      </w:r>
      <w:r w:rsidRPr="00B22581">
        <w:rPr>
          <w:rFonts w:asciiTheme="minorHAnsi" w:hAnsiTheme="minorHAnsi" w:cstheme="minorHAnsi"/>
        </w:rPr>
        <w:t xml:space="preserve"> </w:t>
      </w:r>
      <w:r>
        <w:rPr>
          <w:rFonts w:asciiTheme="minorHAnsi" w:hAnsiTheme="minorHAnsi" w:cstheme="minorHAnsi"/>
          <w:color w:val="000000"/>
          <w:shd w:val="clear" w:color="auto" w:fill="FFFFFF"/>
        </w:rPr>
        <w:t>leave developing countries</w:t>
      </w:r>
      <w:r w:rsidRPr="00B22581">
        <w:rPr>
          <w:rFonts w:asciiTheme="minorHAnsi" w:hAnsiTheme="minorHAnsi" w:cstheme="minorHAnsi"/>
          <w:color w:val="000000"/>
          <w:shd w:val="clear" w:color="auto" w:fill="FFFFFF"/>
        </w:rPr>
        <w:t xml:space="preserve"> losing billions</w:t>
      </w:r>
      <w:r w:rsidR="003C79E4">
        <w:rPr>
          <w:rFonts w:asciiTheme="minorHAnsi" w:hAnsiTheme="minorHAnsi" w:cstheme="minorHAnsi"/>
          <w:color w:val="000000"/>
          <w:shd w:val="clear" w:color="auto" w:fill="FFFFFF"/>
        </w:rPr>
        <w:t xml:space="preserve"> (</w:t>
      </w:r>
      <w:r w:rsidRPr="00B22581">
        <w:rPr>
          <w:rFonts w:asciiTheme="minorHAnsi" w:hAnsiTheme="minorHAnsi" w:cstheme="minorHAnsi"/>
          <w:color w:val="000000"/>
          <w:shd w:val="clear" w:color="auto" w:fill="FFFFFF"/>
        </w:rPr>
        <w:t xml:space="preserve">which could be spent on </w:t>
      </w:r>
      <w:r>
        <w:rPr>
          <w:rFonts w:asciiTheme="minorHAnsi" w:hAnsiTheme="minorHAnsi" w:cstheme="minorHAnsi"/>
          <w:color w:val="000000"/>
          <w:shd w:val="clear" w:color="auto" w:fill="FFFFFF"/>
        </w:rPr>
        <w:t>teachers and textbooks</w:t>
      </w:r>
      <w:r w:rsidR="003C79E4">
        <w:rPr>
          <w:rFonts w:asciiTheme="minorHAnsi" w:hAnsiTheme="minorHAnsi" w:cstheme="minorHAnsi"/>
          <w:color w:val="000000"/>
          <w:shd w:val="clear" w:color="auto" w:fill="FFFFFF"/>
        </w:rPr>
        <w:t xml:space="preserve">) </w:t>
      </w:r>
      <w:r w:rsidRPr="00B22581">
        <w:rPr>
          <w:rFonts w:asciiTheme="minorHAnsi" w:hAnsiTheme="minorHAnsi" w:cstheme="minorHAnsi"/>
          <w:color w:val="000000"/>
          <w:shd w:val="clear" w:color="auto" w:fill="FFFFFF"/>
        </w:rPr>
        <w:t>in tax. It is for this reason</w:t>
      </w:r>
      <w:r w:rsidR="003C79E4">
        <w:rPr>
          <w:rFonts w:asciiTheme="minorHAnsi" w:hAnsiTheme="minorHAnsi" w:cstheme="minorHAnsi"/>
          <w:color w:val="000000"/>
          <w:shd w:val="clear" w:color="auto" w:fill="FFFFFF"/>
        </w:rPr>
        <w:t>,</w:t>
      </w:r>
      <w:r w:rsidRPr="00B22581">
        <w:rPr>
          <w:rFonts w:asciiTheme="minorHAnsi" w:hAnsiTheme="minorHAnsi" w:cstheme="minorHAnsi"/>
          <w:color w:val="000000"/>
          <w:shd w:val="clear" w:color="auto" w:fill="FFFFFF"/>
        </w:rPr>
        <w:t xml:space="preserve"> </w:t>
      </w:r>
      <w:r w:rsidR="003C79E4">
        <w:rPr>
          <w:rFonts w:asciiTheme="minorHAnsi" w:hAnsiTheme="minorHAnsi" w:cstheme="minorHAnsi"/>
          <w:color w:val="000000"/>
          <w:shd w:val="clear" w:color="auto" w:fill="FFFFFF"/>
        </w:rPr>
        <w:t>the Global Campaign for Education stands committed to</w:t>
      </w:r>
      <w:r w:rsidRPr="00B22581">
        <w:rPr>
          <w:rFonts w:asciiTheme="minorHAnsi" w:hAnsiTheme="minorHAnsi" w:cstheme="minorHAnsi"/>
          <w:color w:val="000000"/>
          <w:shd w:val="clear" w:color="auto" w:fill="FFFFFF"/>
        </w:rPr>
        <w:t xml:space="preserve"> </w:t>
      </w:r>
      <w:r w:rsidR="003C79E4">
        <w:rPr>
          <w:rFonts w:asciiTheme="minorHAnsi" w:hAnsiTheme="minorHAnsi" w:cstheme="minorHAnsi"/>
          <w:color w:val="000000"/>
          <w:shd w:val="clear" w:color="auto" w:fill="FFFFFF"/>
        </w:rPr>
        <w:t>advocating for</w:t>
      </w:r>
      <w:r w:rsidRPr="00B22581">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 xml:space="preserve">international </w:t>
      </w:r>
      <w:r w:rsidRPr="00B22581">
        <w:rPr>
          <w:rFonts w:asciiTheme="minorHAnsi" w:hAnsiTheme="minorHAnsi" w:cstheme="minorHAnsi"/>
          <w:color w:val="000000"/>
          <w:shd w:val="clear" w:color="auto" w:fill="FFFFFF"/>
        </w:rPr>
        <w:t xml:space="preserve">action </w:t>
      </w:r>
      <w:r w:rsidR="003C79E4">
        <w:rPr>
          <w:rFonts w:asciiTheme="minorHAnsi" w:hAnsiTheme="minorHAnsi" w:cstheme="minorHAnsi"/>
          <w:color w:val="000000"/>
          <w:shd w:val="clear" w:color="auto" w:fill="FFFFFF"/>
        </w:rPr>
        <w:t>for tax justice, including ensuring</w:t>
      </w:r>
      <w:r w:rsidRPr="00B22581">
        <w:rPr>
          <w:rFonts w:asciiTheme="minorHAnsi" w:hAnsiTheme="minorHAnsi" w:cstheme="minorHAnsi"/>
          <w:color w:val="000000"/>
          <w:shd w:val="clear" w:color="auto" w:fill="FFFFFF"/>
        </w:rPr>
        <w:t xml:space="preserve"> a UN body is formed to help re-draft fairer global tax rules.</w:t>
      </w:r>
      <w:r>
        <w:rPr>
          <w:rStyle w:val="EndnoteReference"/>
          <w:rFonts w:asciiTheme="minorHAnsi" w:hAnsiTheme="minorHAnsi" w:cstheme="minorHAnsi"/>
          <w:color w:val="000000"/>
          <w:shd w:val="clear" w:color="auto" w:fill="FFFFFF"/>
        </w:rPr>
        <w:endnoteReference w:id="18"/>
      </w:r>
    </w:p>
    <w:p w14:paraId="6695FB0D" w14:textId="77777777" w:rsidR="0038652B" w:rsidRDefault="0038652B" w:rsidP="00EF4163">
      <w:pPr>
        <w:pStyle w:val="NoSpacing"/>
        <w:rPr>
          <w:b/>
        </w:rPr>
      </w:pPr>
    </w:p>
    <w:p w14:paraId="5AE8FBEE" w14:textId="77777777" w:rsidR="0038652B" w:rsidRDefault="0038652B" w:rsidP="007820E6">
      <w:pPr>
        <w:pStyle w:val="NoSpacing"/>
        <w:rPr>
          <w:b/>
        </w:rPr>
      </w:pPr>
      <w:r>
        <w:rPr>
          <w:b/>
        </w:rPr>
        <w:t>DONOR PARTNERS COMMITMENT AT THE FINANCING CONFERENCE</w:t>
      </w:r>
    </w:p>
    <w:p w14:paraId="211686F9" w14:textId="77777777" w:rsidR="00361A55" w:rsidRDefault="0038652B" w:rsidP="004F3999">
      <w:pPr>
        <w:pStyle w:val="NoSpacing"/>
        <w:jc w:val="both"/>
        <w:rPr>
          <w:rFonts w:asciiTheme="minorHAnsi" w:hAnsiTheme="minorHAnsi" w:cstheme="minorHAnsi"/>
        </w:rPr>
      </w:pPr>
      <w:r w:rsidRPr="007820E6">
        <w:t xml:space="preserve">In the </w:t>
      </w:r>
      <w:r>
        <w:t>spirit of shared responsibility, the Global Campaign for Education, is calling for e</w:t>
      </w:r>
      <w:r w:rsidRPr="007820E6">
        <w:t>fforts</w:t>
      </w:r>
      <w:r w:rsidRPr="00D402CA">
        <w:rPr>
          <w:rFonts w:asciiTheme="minorHAnsi" w:hAnsiTheme="minorHAnsi" w:cstheme="minorHAnsi"/>
        </w:rPr>
        <w:t xml:space="preserve"> to increase </w:t>
      </w:r>
      <w:r>
        <w:rPr>
          <w:rFonts w:asciiTheme="minorHAnsi" w:hAnsiTheme="minorHAnsi" w:cstheme="minorHAnsi"/>
        </w:rPr>
        <w:t>domestic</w:t>
      </w:r>
      <w:r w:rsidRPr="00D402CA">
        <w:rPr>
          <w:rFonts w:asciiTheme="minorHAnsi" w:hAnsiTheme="minorHAnsi" w:cstheme="minorHAnsi"/>
        </w:rPr>
        <w:t xml:space="preserve"> resources, </w:t>
      </w:r>
      <w:r>
        <w:rPr>
          <w:rFonts w:asciiTheme="minorHAnsi" w:hAnsiTheme="minorHAnsi" w:cstheme="minorHAnsi"/>
        </w:rPr>
        <w:t xml:space="preserve">to </w:t>
      </w:r>
      <w:r w:rsidRPr="00D402CA">
        <w:rPr>
          <w:rFonts w:asciiTheme="minorHAnsi" w:hAnsiTheme="minorHAnsi" w:cstheme="minorHAnsi"/>
        </w:rPr>
        <w:t xml:space="preserve">go </w:t>
      </w:r>
      <w:proofErr w:type="gramStart"/>
      <w:r w:rsidRPr="00D402CA">
        <w:rPr>
          <w:rFonts w:asciiTheme="minorHAnsi" w:hAnsiTheme="minorHAnsi" w:cstheme="minorHAnsi"/>
        </w:rPr>
        <w:t>hand</w:t>
      </w:r>
      <w:r>
        <w:rPr>
          <w:rFonts w:asciiTheme="minorHAnsi" w:hAnsiTheme="minorHAnsi" w:cstheme="minorHAnsi"/>
        </w:rPr>
        <w:t>-in-</w:t>
      </w:r>
      <w:r w:rsidRPr="00D402CA">
        <w:rPr>
          <w:rFonts w:asciiTheme="minorHAnsi" w:hAnsiTheme="minorHAnsi" w:cstheme="minorHAnsi"/>
        </w:rPr>
        <w:t>hand</w:t>
      </w:r>
      <w:proofErr w:type="gramEnd"/>
      <w:r w:rsidRPr="00D402CA">
        <w:rPr>
          <w:rFonts w:asciiTheme="minorHAnsi" w:hAnsiTheme="minorHAnsi" w:cstheme="minorHAnsi"/>
        </w:rPr>
        <w:t xml:space="preserve"> with international action to support countries to meet their education</w:t>
      </w:r>
      <w:r>
        <w:rPr>
          <w:rFonts w:cstheme="minorHAnsi"/>
        </w:rPr>
        <w:t xml:space="preserve"> t</w:t>
      </w:r>
      <w:r w:rsidRPr="00D402CA">
        <w:rPr>
          <w:rFonts w:asciiTheme="minorHAnsi" w:hAnsiTheme="minorHAnsi" w:cstheme="minorHAnsi"/>
        </w:rPr>
        <w:t>argets</w:t>
      </w:r>
      <w:r>
        <w:rPr>
          <w:rFonts w:asciiTheme="minorHAnsi" w:hAnsiTheme="minorHAnsi" w:cstheme="minorHAnsi"/>
        </w:rPr>
        <w:t xml:space="preserve">. </w:t>
      </w:r>
    </w:p>
    <w:p w14:paraId="7F62245F" w14:textId="77777777" w:rsidR="00361A55" w:rsidRDefault="00361A55" w:rsidP="004F3999">
      <w:pPr>
        <w:pStyle w:val="NoSpacing"/>
        <w:jc w:val="both"/>
        <w:rPr>
          <w:rFonts w:asciiTheme="minorHAnsi" w:hAnsiTheme="minorHAnsi" w:cstheme="minorHAnsi"/>
        </w:rPr>
      </w:pPr>
    </w:p>
    <w:p w14:paraId="62D2DBAE" w14:textId="7844B860" w:rsidR="00361A55" w:rsidRDefault="0038652B" w:rsidP="004F3999">
      <w:pPr>
        <w:pStyle w:val="NoSpacing"/>
        <w:jc w:val="both"/>
        <w:rPr>
          <w:rFonts w:cstheme="minorHAnsi"/>
        </w:rPr>
      </w:pPr>
      <w:r w:rsidRPr="0003114B">
        <w:rPr>
          <w:rFonts w:asciiTheme="minorHAnsi" w:hAnsiTheme="minorHAnsi" w:cstheme="minorHAnsi"/>
        </w:rPr>
        <w:t xml:space="preserve">The Global Education Monitoring (GEM) Report </w:t>
      </w:r>
      <w:r>
        <w:rPr>
          <w:rFonts w:asciiTheme="minorHAnsi" w:hAnsiTheme="minorHAnsi" w:cstheme="minorHAnsi"/>
        </w:rPr>
        <w:t>has shown</w:t>
      </w:r>
      <w:r w:rsidRPr="0003114B">
        <w:rPr>
          <w:rFonts w:asciiTheme="minorHAnsi" w:hAnsiTheme="minorHAnsi" w:cstheme="minorHAnsi"/>
        </w:rPr>
        <w:t xml:space="preserve"> that even when domestic resources are increased to ambitious levels in low-income countries, there would still be a funding shortfall of US$39 billion in low-income countries.</w:t>
      </w:r>
      <w:r w:rsidRPr="0003114B">
        <w:rPr>
          <w:rFonts w:asciiTheme="minorHAnsi" w:hAnsiTheme="minorHAnsi" w:cstheme="minorHAnsi"/>
          <w:vertAlign w:val="superscript"/>
        </w:rPr>
        <w:endnoteReference w:id="19"/>
      </w:r>
      <w:bookmarkStart w:id="13" w:name="_Hlk495492542"/>
      <w:r>
        <w:rPr>
          <w:rFonts w:asciiTheme="minorHAnsi" w:hAnsiTheme="minorHAnsi" w:cstheme="minorHAnsi"/>
        </w:rPr>
        <w:t xml:space="preserve"> </w:t>
      </w:r>
      <w:r w:rsidRPr="0003114B">
        <w:rPr>
          <w:rFonts w:cstheme="minorHAnsi"/>
        </w:rPr>
        <w:t>In this context, aid remains central to meeting the SDG targets. Yet aid remains far short of what is needed to achieve Sustainable Development Goal 4, putting commitments at risk.</w:t>
      </w:r>
      <w:r>
        <w:rPr>
          <w:rFonts w:cstheme="minorHAnsi"/>
        </w:rPr>
        <w:t xml:space="preserve"> </w:t>
      </w:r>
      <w:r w:rsidR="00361A55">
        <w:rPr>
          <w:rFonts w:cstheme="minorHAnsi"/>
        </w:rPr>
        <w:t>In fact, a</w:t>
      </w:r>
      <w:r>
        <w:rPr>
          <w:rFonts w:cstheme="minorHAnsi"/>
        </w:rPr>
        <w:t xml:space="preserve">id </w:t>
      </w:r>
      <w:r w:rsidRPr="0003114B">
        <w:rPr>
          <w:rFonts w:cstheme="minorHAnsi"/>
        </w:rPr>
        <w:t>need</w:t>
      </w:r>
      <w:r>
        <w:rPr>
          <w:rFonts w:cstheme="minorHAnsi"/>
        </w:rPr>
        <w:t>s</w:t>
      </w:r>
      <w:r w:rsidRPr="0003114B">
        <w:rPr>
          <w:rFonts w:cstheme="minorHAnsi"/>
        </w:rPr>
        <w:t xml:space="preserve"> to be multiplied six times to achieve </w:t>
      </w:r>
      <w:r>
        <w:rPr>
          <w:rFonts w:cstheme="minorHAnsi"/>
        </w:rPr>
        <w:t>SDG4</w:t>
      </w:r>
      <w:r w:rsidRPr="0003114B">
        <w:rPr>
          <w:rFonts w:cstheme="minorHAnsi"/>
        </w:rPr>
        <w:t>.</w:t>
      </w:r>
      <w:r>
        <w:rPr>
          <w:rFonts w:cstheme="minorHAnsi"/>
        </w:rPr>
        <w:t xml:space="preserve"> </w:t>
      </w:r>
      <w:r w:rsidRPr="0003114B">
        <w:rPr>
          <w:rFonts w:cstheme="minorHAnsi"/>
        </w:rPr>
        <w:t xml:space="preserve">But rather than increasing, the amount of aid allocated to education has been falling </w:t>
      </w:r>
      <w:r>
        <w:rPr>
          <w:rFonts w:cstheme="minorHAnsi"/>
        </w:rPr>
        <w:t xml:space="preserve">- </w:t>
      </w:r>
      <w:r w:rsidRPr="0003114B">
        <w:rPr>
          <w:rFonts w:cstheme="minorHAnsi"/>
        </w:rPr>
        <w:t xml:space="preserve">for six years in a row. </w:t>
      </w:r>
    </w:p>
    <w:p w14:paraId="68E581A6" w14:textId="77777777" w:rsidR="00361A55" w:rsidRDefault="00361A55" w:rsidP="004F3999">
      <w:pPr>
        <w:pStyle w:val="NoSpacing"/>
        <w:jc w:val="both"/>
        <w:rPr>
          <w:rFonts w:cstheme="minorHAnsi"/>
        </w:rPr>
      </w:pPr>
    </w:p>
    <w:p w14:paraId="52275EC8" w14:textId="77777777" w:rsidR="00361A55" w:rsidRDefault="0038652B" w:rsidP="004F3999">
      <w:pPr>
        <w:pStyle w:val="NoSpacing"/>
        <w:jc w:val="both"/>
        <w:rPr>
          <w:rFonts w:cstheme="minorHAnsi"/>
        </w:rPr>
      </w:pPr>
      <w:r>
        <w:rPr>
          <w:rFonts w:cstheme="minorHAnsi"/>
        </w:rPr>
        <w:t xml:space="preserve">What’s more, aid, increasingly, is </w:t>
      </w:r>
      <w:r w:rsidRPr="0003114B">
        <w:rPr>
          <w:rFonts w:cstheme="minorHAnsi"/>
        </w:rPr>
        <w:t xml:space="preserve">not allocated according to need. </w:t>
      </w:r>
      <w:r>
        <w:rPr>
          <w:rFonts w:cstheme="minorHAnsi"/>
        </w:rPr>
        <w:t>Aid to basic education in s</w:t>
      </w:r>
      <w:r w:rsidRPr="0003114B">
        <w:rPr>
          <w:rFonts w:cstheme="minorHAnsi"/>
        </w:rPr>
        <w:t xml:space="preserve">ub-Saharan Africa, home to over half of the world’s out-of-school children </w:t>
      </w:r>
      <w:r>
        <w:rPr>
          <w:rFonts w:cstheme="minorHAnsi"/>
        </w:rPr>
        <w:t>has been halved since 2002</w:t>
      </w:r>
      <w:r w:rsidRPr="0003114B">
        <w:rPr>
          <w:rFonts w:cstheme="minorHAnsi"/>
        </w:rPr>
        <w:t xml:space="preserve">. </w:t>
      </w:r>
      <w:r>
        <w:rPr>
          <w:rFonts w:cstheme="minorHAnsi"/>
        </w:rPr>
        <w:t>Sub-Saharan Africa now only gets</w:t>
      </w:r>
      <w:r w:rsidRPr="0003114B">
        <w:rPr>
          <w:rFonts w:cstheme="minorHAnsi"/>
        </w:rPr>
        <w:t xml:space="preserve"> 26% of total aid to basic education, barely more than the 22% allocated to Northern Africa and Western Asia, where 9% of children are out</w:t>
      </w:r>
      <w:r>
        <w:rPr>
          <w:rFonts w:cstheme="minorHAnsi"/>
        </w:rPr>
        <w:t xml:space="preserve"> </w:t>
      </w:r>
      <w:r w:rsidRPr="0003114B">
        <w:rPr>
          <w:rFonts w:cstheme="minorHAnsi"/>
        </w:rPr>
        <w:t>of</w:t>
      </w:r>
      <w:r>
        <w:rPr>
          <w:rFonts w:cstheme="minorHAnsi"/>
        </w:rPr>
        <w:t xml:space="preserve"> </w:t>
      </w:r>
      <w:r w:rsidRPr="0003114B">
        <w:rPr>
          <w:rFonts w:cstheme="minorHAnsi"/>
        </w:rPr>
        <w:t>school</w:t>
      </w:r>
      <w:r>
        <w:rPr>
          <w:rFonts w:cstheme="minorHAnsi"/>
        </w:rPr>
        <w:t>.</w:t>
      </w:r>
      <w:bookmarkStart w:id="14" w:name="_Hlk493180699"/>
      <w:r w:rsidRPr="0003114B">
        <w:rPr>
          <w:rStyle w:val="EndnoteReference"/>
          <w:rFonts w:cstheme="minorHAnsi"/>
        </w:rPr>
        <w:endnoteReference w:id="20"/>
      </w:r>
      <w:r w:rsidRPr="0003114B">
        <w:rPr>
          <w:rFonts w:cstheme="minorHAnsi"/>
        </w:rPr>
        <w:t xml:space="preserve"> </w:t>
      </w:r>
    </w:p>
    <w:p w14:paraId="07B5F6FC" w14:textId="77777777" w:rsidR="00361A55" w:rsidRDefault="00361A55" w:rsidP="004F3999">
      <w:pPr>
        <w:pStyle w:val="NoSpacing"/>
        <w:jc w:val="both"/>
        <w:rPr>
          <w:rFonts w:cstheme="minorHAnsi"/>
        </w:rPr>
      </w:pPr>
    </w:p>
    <w:p w14:paraId="2833842D" w14:textId="4B6BF57F" w:rsidR="0038652B" w:rsidRDefault="0038652B" w:rsidP="004F3999">
      <w:pPr>
        <w:pStyle w:val="NoSpacing"/>
        <w:jc w:val="both"/>
        <w:rPr>
          <w:rFonts w:cstheme="minorHAnsi"/>
        </w:rPr>
      </w:pPr>
      <w:r w:rsidRPr="0003114B">
        <w:rPr>
          <w:rFonts w:cstheme="minorHAnsi"/>
        </w:rPr>
        <w:t>In contrast to trends in bilateral aid to education, the Global Partnership for Educat</w:t>
      </w:r>
      <w:r>
        <w:rPr>
          <w:rFonts w:cstheme="minorHAnsi"/>
        </w:rPr>
        <w:t>ion (GPE)</w:t>
      </w:r>
      <w:r w:rsidRPr="0003114B">
        <w:rPr>
          <w:rFonts w:cstheme="minorHAnsi"/>
        </w:rPr>
        <w:t xml:space="preserve"> allocated 77% of its disbursements to sub-Saharan Africa, and 60% to countries affected by instability and conflict.</w:t>
      </w:r>
      <w:bookmarkEnd w:id="13"/>
      <w:bookmarkEnd w:id="14"/>
      <w:r>
        <w:rPr>
          <w:rFonts w:cstheme="minorHAnsi"/>
        </w:rPr>
        <w:t xml:space="preserve"> And a</w:t>
      </w:r>
      <w:r w:rsidRPr="0003114B">
        <w:rPr>
          <w:rFonts w:cstheme="minorHAnsi"/>
        </w:rPr>
        <w:t xml:space="preserve">lthough aid to education has generally stagnated since 2010, GPE disbursements increased by 14% on average from 2010 to 2015. </w:t>
      </w:r>
      <w:r>
        <w:rPr>
          <w:rFonts w:cstheme="minorHAnsi"/>
        </w:rPr>
        <w:t>This is because t</w:t>
      </w:r>
      <w:r w:rsidRPr="0003114B">
        <w:rPr>
          <w:rFonts w:cstheme="minorHAnsi"/>
        </w:rPr>
        <w:t>he GPE allocation model is based on two key elements: the needs of the education sector in the partner country and the income level of the country in question</w:t>
      </w:r>
      <w:r>
        <w:rPr>
          <w:rFonts w:cstheme="minorHAnsi"/>
        </w:rPr>
        <w:t>.</w:t>
      </w:r>
      <w:r w:rsidRPr="0003114B">
        <w:rPr>
          <w:rFonts w:cstheme="minorHAnsi"/>
        </w:rPr>
        <w:t xml:space="preserve"> </w:t>
      </w:r>
    </w:p>
    <w:p w14:paraId="6E1085F6" w14:textId="77777777" w:rsidR="0038652B" w:rsidRDefault="0038652B" w:rsidP="004F3999">
      <w:pPr>
        <w:pStyle w:val="NoSpacing"/>
        <w:jc w:val="both"/>
        <w:rPr>
          <w:rFonts w:cstheme="minorHAnsi"/>
        </w:rPr>
      </w:pPr>
    </w:p>
    <w:p w14:paraId="0BE05805" w14:textId="57438413" w:rsidR="0038652B" w:rsidRDefault="0038652B" w:rsidP="00C60ED9">
      <w:pPr>
        <w:pStyle w:val="NoSpacing"/>
        <w:jc w:val="both"/>
        <w:rPr>
          <w:rFonts w:cstheme="minorHAnsi"/>
        </w:rPr>
      </w:pPr>
      <w:r>
        <w:rPr>
          <w:rFonts w:cstheme="minorHAnsi"/>
        </w:rPr>
        <w:t xml:space="preserve">Ensuring GPE 2020 is fully funded is central to turning the tide on diminishing aid allocations to education in countries with the most in need. </w:t>
      </w:r>
      <w:r>
        <w:rPr>
          <w:color w:val="222222"/>
        </w:rPr>
        <w:t xml:space="preserve">It is vital that </w:t>
      </w:r>
      <w:r>
        <w:rPr>
          <w:rFonts w:cstheme="minorHAnsi"/>
        </w:rPr>
        <w:t>donor partners</w:t>
      </w:r>
      <w:r w:rsidRPr="00D402CA">
        <w:rPr>
          <w:rFonts w:cstheme="minorHAnsi"/>
        </w:rPr>
        <w:t xml:space="preserve"> </w:t>
      </w:r>
      <w:r>
        <w:rPr>
          <w:rFonts w:cstheme="minorHAnsi"/>
        </w:rPr>
        <w:t xml:space="preserve">make </w:t>
      </w:r>
      <w:r w:rsidRPr="00D402CA">
        <w:rPr>
          <w:rFonts w:cstheme="minorHAnsi"/>
        </w:rPr>
        <w:t>timebound and ambitious pledges</w:t>
      </w:r>
      <w:r>
        <w:rPr>
          <w:rFonts w:cstheme="minorHAnsi"/>
        </w:rPr>
        <w:t xml:space="preserve"> in Dakar on February </w:t>
      </w:r>
      <w:r w:rsidR="00712521">
        <w:rPr>
          <w:rFonts w:cstheme="minorHAnsi"/>
        </w:rPr>
        <w:t>2nd</w:t>
      </w:r>
      <w:proofErr w:type="gramStart"/>
      <w:r>
        <w:rPr>
          <w:rFonts w:cstheme="minorHAnsi"/>
        </w:rPr>
        <w:t xml:space="preserve"> 2018</w:t>
      </w:r>
      <w:proofErr w:type="gramEnd"/>
      <w:r>
        <w:rPr>
          <w:rFonts w:cstheme="minorHAnsi"/>
        </w:rPr>
        <w:t xml:space="preserve"> so the GPE can continue to do its invaluable work. </w:t>
      </w:r>
    </w:p>
    <w:p w14:paraId="0009B06C" w14:textId="77777777" w:rsidR="0038652B" w:rsidRPr="0003114B" w:rsidRDefault="0038652B" w:rsidP="00C60ED9">
      <w:pPr>
        <w:pStyle w:val="NoSpacing"/>
        <w:jc w:val="both"/>
        <w:rPr>
          <w:rFonts w:cstheme="minorHAnsi"/>
        </w:rPr>
      </w:pPr>
    </w:p>
    <w:p w14:paraId="5775334F" w14:textId="77777777" w:rsidR="00587034" w:rsidRDefault="00587034">
      <w:pPr>
        <w:rPr>
          <w:rFonts w:ascii="Calibri" w:eastAsia="Calibri" w:hAnsi="Calibri" w:cs="Arial"/>
          <w:b/>
        </w:rPr>
      </w:pPr>
      <w:r>
        <w:rPr>
          <w:b/>
        </w:rPr>
        <w:br w:type="page"/>
      </w:r>
    </w:p>
    <w:p w14:paraId="44ACDA04" w14:textId="1589830C" w:rsidR="0038652B" w:rsidRPr="0003114B" w:rsidRDefault="007E6E3A" w:rsidP="0003114B">
      <w:pPr>
        <w:pStyle w:val="NoSpacing"/>
        <w:rPr>
          <w:b/>
        </w:rPr>
      </w:pPr>
      <w:r w:rsidRPr="0003114B">
        <w:rPr>
          <w:b/>
        </w:rPr>
        <w:lastRenderedPageBreak/>
        <w:t>CONCLUSION</w:t>
      </w:r>
      <w:r>
        <w:rPr>
          <w:b/>
        </w:rPr>
        <w:t xml:space="preserve">S AND RECOMMENDATIONS </w:t>
      </w:r>
    </w:p>
    <w:p w14:paraId="0E46EDA7" w14:textId="6C0DE91F" w:rsidR="0038652B" w:rsidRPr="009846CB" w:rsidRDefault="0038652B" w:rsidP="000D2772">
      <w:pPr>
        <w:pStyle w:val="NoSpacing"/>
        <w:jc w:val="both"/>
        <w:rPr>
          <w:color w:val="222222"/>
        </w:rPr>
      </w:pPr>
      <w:r w:rsidRPr="0003114B">
        <w:rPr>
          <w:rFonts w:asciiTheme="minorHAnsi" w:hAnsiTheme="minorHAnsi" w:cstheme="minorHAnsi"/>
        </w:rPr>
        <w:t>The continuing crisis in access to, and quality of, education is a disaster for millions of the world’s poorest children, young people, adults, families and communities</w:t>
      </w:r>
      <w:r>
        <w:rPr>
          <w:rFonts w:asciiTheme="minorHAnsi" w:hAnsiTheme="minorHAnsi" w:cstheme="minorHAnsi"/>
        </w:rPr>
        <w:t xml:space="preserve">. </w:t>
      </w:r>
      <w:r>
        <w:rPr>
          <w:color w:val="222222"/>
        </w:rPr>
        <w:t>The</w:t>
      </w:r>
      <w:r w:rsidRPr="0003114B">
        <w:rPr>
          <w:color w:val="222222"/>
        </w:rPr>
        <w:t xml:space="preserve"> </w:t>
      </w:r>
      <w:r>
        <w:rPr>
          <w:color w:val="222222"/>
        </w:rPr>
        <w:t>GPE i</w:t>
      </w:r>
      <w:r w:rsidRPr="0003114B">
        <w:rPr>
          <w:color w:val="222222"/>
        </w:rPr>
        <w:t>s uniquely positioned to facilitate</w:t>
      </w:r>
      <w:r>
        <w:rPr>
          <w:color w:val="222222"/>
        </w:rPr>
        <w:t xml:space="preserve"> coordination, harmonis</w:t>
      </w:r>
      <w:r w:rsidRPr="0003114B">
        <w:rPr>
          <w:color w:val="222222"/>
        </w:rPr>
        <w:t>ing funding but also in promoting stronger and more ambitious partnerships among governments, development partners, civil society and the private sector at the country level.</w:t>
      </w:r>
      <w:r w:rsidR="009846CB">
        <w:rPr>
          <w:color w:val="222222"/>
        </w:rPr>
        <w:t xml:space="preserve"> </w:t>
      </w:r>
      <w:r>
        <w:t>The Global Campaign for Education, call</w:t>
      </w:r>
      <w:r w:rsidR="007E6E3A">
        <w:t>s</w:t>
      </w:r>
      <w:r>
        <w:t xml:space="preserve"> on all GPE partners to seize the opportunity of the February 2018 GPE Financing Conference</w:t>
      </w:r>
      <w:r w:rsidR="007E6E3A">
        <w:t>, to</w:t>
      </w:r>
      <w:r>
        <w:t xml:space="preserve"> make c</w:t>
      </w:r>
      <w:r w:rsidR="007E6E3A">
        <w:t>oncrete pledges and commitments:</w:t>
      </w:r>
    </w:p>
    <w:p w14:paraId="6915A465" w14:textId="75D0934B" w:rsidR="0038652B" w:rsidRPr="00EF79E4" w:rsidRDefault="0038652B" w:rsidP="00412950">
      <w:pPr>
        <w:pStyle w:val="ListParagraph"/>
        <w:numPr>
          <w:ilvl w:val="0"/>
          <w:numId w:val="13"/>
        </w:numPr>
        <w:spacing w:after="0" w:line="240" w:lineRule="auto"/>
        <w:ind w:left="360"/>
        <w:jc w:val="both"/>
        <w:rPr>
          <w:sz w:val="22"/>
          <w:szCs w:val="22"/>
          <w:lang w:val="en-GB"/>
        </w:rPr>
      </w:pPr>
      <w:r w:rsidRPr="00EF79E4">
        <w:rPr>
          <w:b/>
          <w:sz w:val="22"/>
          <w:szCs w:val="22"/>
          <w:lang w:val="en-GB"/>
        </w:rPr>
        <w:t>Developing countries</w:t>
      </w:r>
      <w:r w:rsidR="007E6E3A">
        <w:rPr>
          <w:sz w:val="22"/>
          <w:szCs w:val="22"/>
          <w:lang w:val="en-GB"/>
        </w:rPr>
        <w:t>, should e</w:t>
      </w:r>
      <w:r w:rsidRPr="00EF79E4">
        <w:rPr>
          <w:sz w:val="22"/>
          <w:szCs w:val="22"/>
          <w:lang w:val="en-GB"/>
        </w:rPr>
        <w:t>xpand their domestic tax base (to at least 20% of GDP) and increase the share of spending on education (to at least 20% of budgets</w:t>
      </w:r>
      <w:r w:rsidR="00BC34D7">
        <w:rPr>
          <w:sz w:val="22"/>
          <w:szCs w:val="22"/>
          <w:lang w:val="en-GB"/>
        </w:rPr>
        <w:t>)</w:t>
      </w:r>
      <w:r w:rsidRPr="00EF79E4">
        <w:rPr>
          <w:sz w:val="22"/>
          <w:szCs w:val="22"/>
          <w:lang w:val="en-GB"/>
        </w:rPr>
        <w:t>, and ensuring resources are closely scrutinised and spent sensitively to improve the effectiveness, efficiency and equitability of public education systems.</w:t>
      </w:r>
    </w:p>
    <w:p w14:paraId="7664EF58" w14:textId="61F3BF41" w:rsidR="0038652B" w:rsidRPr="00EF79E4" w:rsidRDefault="0038652B" w:rsidP="00412950">
      <w:pPr>
        <w:pStyle w:val="ListParagraph"/>
        <w:numPr>
          <w:ilvl w:val="0"/>
          <w:numId w:val="13"/>
        </w:numPr>
        <w:spacing w:after="0" w:line="240" w:lineRule="auto"/>
        <w:ind w:left="360"/>
        <w:jc w:val="both"/>
        <w:rPr>
          <w:sz w:val="22"/>
          <w:szCs w:val="22"/>
          <w:lang w:val="en-GB"/>
        </w:rPr>
      </w:pPr>
      <w:r w:rsidRPr="00EF79E4">
        <w:rPr>
          <w:b/>
          <w:sz w:val="22"/>
          <w:szCs w:val="22"/>
          <w:lang w:val="en-GB"/>
        </w:rPr>
        <w:t>Bilateral donors</w:t>
      </w:r>
      <w:r w:rsidR="00BC34D7">
        <w:rPr>
          <w:sz w:val="22"/>
          <w:szCs w:val="22"/>
          <w:lang w:val="en-GB"/>
        </w:rPr>
        <w:t xml:space="preserve"> should i</w:t>
      </w:r>
      <w:r w:rsidRPr="00EF79E4">
        <w:rPr>
          <w:sz w:val="22"/>
          <w:szCs w:val="22"/>
          <w:lang w:val="en-GB"/>
        </w:rPr>
        <w:t>ncrease ODA (towards 0.7% glo</w:t>
      </w:r>
      <w:r w:rsidR="00BC34D7">
        <w:rPr>
          <w:sz w:val="22"/>
          <w:szCs w:val="22"/>
          <w:lang w:val="en-GB"/>
        </w:rPr>
        <w:t xml:space="preserve">bal target), commit at least 30% </w:t>
      </w:r>
      <w:r w:rsidRPr="00EF79E4">
        <w:rPr>
          <w:sz w:val="22"/>
          <w:szCs w:val="22"/>
          <w:lang w:val="en-GB"/>
        </w:rPr>
        <w:t>of their education aid t</w:t>
      </w:r>
      <w:r>
        <w:rPr>
          <w:sz w:val="22"/>
          <w:szCs w:val="22"/>
          <w:lang w:val="en-GB"/>
        </w:rPr>
        <w:t xml:space="preserve">o support multilateral efforts, </w:t>
      </w:r>
      <w:r w:rsidRPr="00EF79E4">
        <w:rPr>
          <w:sz w:val="22"/>
          <w:szCs w:val="22"/>
          <w:lang w:val="en-GB"/>
        </w:rPr>
        <w:t>and ensure they are supporting the countries and populations most in need</w:t>
      </w:r>
      <w:r w:rsidR="00BC34D7">
        <w:rPr>
          <w:sz w:val="22"/>
          <w:szCs w:val="22"/>
          <w:lang w:val="en-GB"/>
        </w:rPr>
        <w:t>, which can be achieved by prioritising the GPE</w:t>
      </w:r>
      <w:r w:rsidRPr="00EF79E4">
        <w:rPr>
          <w:sz w:val="22"/>
          <w:szCs w:val="22"/>
          <w:lang w:val="en-GB"/>
        </w:rPr>
        <w:t>.</w:t>
      </w:r>
    </w:p>
    <w:p w14:paraId="4EA1A7E8" w14:textId="7E344675" w:rsidR="0038652B" w:rsidRPr="00500568" w:rsidRDefault="0038652B" w:rsidP="006035AB">
      <w:pPr>
        <w:pStyle w:val="ListParagraph"/>
        <w:numPr>
          <w:ilvl w:val="0"/>
          <w:numId w:val="13"/>
        </w:numPr>
        <w:tabs>
          <w:tab w:val="left" w:pos="1134"/>
        </w:tabs>
        <w:spacing w:after="0" w:line="240" w:lineRule="auto"/>
        <w:ind w:left="360"/>
        <w:jc w:val="both"/>
        <w:rPr>
          <w:sz w:val="22"/>
          <w:szCs w:val="22"/>
          <w:lang w:val="en-GB"/>
        </w:rPr>
      </w:pPr>
      <w:r w:rsidRPr="00EF79E4">
        <w:rPr>
          <w:b/>
          <w:sz w:val="22"/>
          <w:szCs w:val="22"/>
          <w:lang w:val="en-GB"/>
        </w:rPr>
        <w:t xml:space="preserve">International action: </w:t>
      </w:r>
      <w:r w:rsidRPr="00EF79E4">
        <w:rPr>
          <w:sz w:val="22"/>
          <w:szCs w:val="22"/>
          <w:lang w:val="en-GB"/>
        </w:rPr>
        <w:t xml:space="preserve">Additional efforts are needed to support reforms to domestic tax systems and to develop a globally inclusive inter-governmental body that is empowered and resourced to set and enforce fair </w:t>
      </w:r>
      <w:r>
        <w:rPr>
          <w:sz w:val="22"/>
          <w:szCs w:val="22"/>
          <w:lang w:val="en-GB"/>
        </w:rPr>
        <w:t>global tax rules.</w:t>
      </w:r>
      <w:r>
        <w:rPr>
          <w:rStyle w:val="EndnoteReference"/>
          <w:sz w:val="22"/>
          <w:szCs w:val="22"/>
          <w:lang w:val="en-GB"/>
        </w:rPr>
        <w:endnoteReference w:id="21"/>
      </w:r>
    </w:p>
    <w:p w14:paraId="35D8046F" w14:textId="77777777" w:rsidR="00B22581" w:rsidRDefault="00B22581" w:rsidP="00F908CF">
      <w:pPr>
        <w:pStyle w:val="NoSpacing"/>
        <w:jc w:val="both"/>
        <w:rPr>
          <w:rFonts w:asciiTheme="minorHAnsi" w:hAnsiTheme="minorHAnsi" w:cstheme="minorHAnsi"/>
        </w:rPr>
      </w:pPr>
    </w:p>
    <w:p w14:paraId="29B05A55" w14:textId="242C46FB" w:rsidR="006035AB" w:rsidRPr="00046E83" w:rsidRDefault="00F908CF" w:rsidP="00046E83">
      <w:pPr>
        <w:pStyle w:val="NoSpacing"/>
        <w:jc w:val="both"/>
      </w:pPr>
      <w:r w:rsidRPr="0003114B">
        <w:rPr>
          <w:rFonts w:asciiTheme="minorHAnsi" w:hAnsiTheme="minorHAnsi" w:cstheme="minorHAnsi"/>
        </w:rPr>
        <w:t>Now is the time to act: we must fund education and turn the</w:t>
      </w:r>
      <w:r>
        <w:rPr>
          <w:rFonts w:cstheme="minorHAnsi"/>
        </w:rPr>
        <w:t xml:space="preserve"> SDG4</w:t>
      </w:r>
      <w:r w:rsidRPr="0003114B">
        <w:rPr>
          <w:rFonts w:asciiTheme="minorHAnsi" w:hAnsiTheme="minorHAnsi" w:cstheme="minorHAnsi"/>
        </w:rPr>
        <w:t xml:space="preserve"> promise into reality.</w:t>
      </w:r>
      <w:r>
        <w:t xml:space="preserve"> </w:t>
      </w:r>
      <w:bookmarkEnd w:id="1"/>
    </w:p>
    <w:sectPr w:rsidR="006035AB" w:rsidRPr="00046E83" w:rsidSect="00587034">
      <w:endnotePr>
        <w:numFmt w:val="decimal"/>
      </w:endnotePr>
      <w:type w:val="continuous"/>
      <w:pgSz w:w="11906" w:h="16838"/>
      <w:pgMar w:top="851" w:right="1021" w:bottom="851"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130AE" w14:textId="77777777" w:rsidR="0041266F" w:rsidRDefault="0041266F" w:rsidP="00816D7A">
      <w:pPr>
        <w:spacing w:after="0" w:line="240" w:lineRule="auto"/>
      </w:pPr>
      <w:r>
        <w:separator/>
      </w:r>
    </w:p>
  </w:endnote>
  <w:endnote w:type="continuationSeparator" w:id="0">
    <w:p w14:paraId="35CE3D9E" w14:textId="77777777" w:rsidR="0041266F" w:rsidRDefault="0041266F" w:rsidP="00816D7A">
      <w:pPr>
        <w:spacing w:after="0" w:line="240" w:lineRule="auto"/>
      </w:pPr>
      <w:r>
        <w:continuationSeparator/>
      </w:r>
    </w:p>
  </w:endnote>
  <w:endnote w:id="1">
    <w:p w14:paraId="74B791F7" w14:textId="6CA7EEA5" w:rsidR="0038652B" w:rsidRPr="00587034" w:rsidRDefault="0038652B" w:rsidP="00166908">
      <w:pPr>
        <w:pStyle w:val="NoSpacing"/>
        <w:rPr>
          <w:rFonts w:asciiTheme="majorHAnsi" w:hAnsiTheme="majorHAnsi" w:cstheme="majorHAnsi"/>
          <w:sz w:val="16"/>
          <w:szCs w:val="16"/>
        </w:rPr>
      </w:pPr>
      <w:bookmarkStart w:id="2" w:name="_Hlk495498921"/>
      <w:r w:rsidRPr="00587034">
        <w:rPr>
          <w:rStyle w:val="EndnoteReference"/>
          <w:rFonts w:asciiTheme="majorHAnsi" w:hAnsiTheme="majorHAnsi" w:cstheme="majorHAnsi"/>
          <w:sz w:val="16"/>
          <w:szCs w:val="16"/>
        </w:rPr>
        <w:endnoteRef/>
      </w:r>
      <w:r w:rsidRPr="00587034">
        <w:rPr>
          <w:rFonts w:asciiTheme="majorHAnsi" w:hAnsiTheme="majorHAnsi" w:cstheme="majorHAnsi"/>
          <w:sz w:val="16"/>
          <w:szCs w:val="16"/>
        </w:rPr>
        <w:t xml:space="preserve"> UNESCO et al. (2015) ‘Education 2030. Incheon Declaration and Framework for Action’.</w:t>
      </w:r>
      <w:bookmarkEnd w:id="2"/>
    </w:p>
  </w:endnote>
  <w:endnote w:id="2">
    <w:p w14:paraId="67740D9C" w14:textId="43114032" w:rsidR="0038652B" w:rsidRPr="00587034" w:rsidRDefault="0038652B" w:rsidP="007E08F1">
      <w:pPr>
        <w:pStyle w:val="NoSpacing"/>
        <w:rPr>
          <w:rFonts w:asciiTheme="majorHAnsi" w:hAnsiTheme="majorHAnsi" w:cstheme="majorHAnsi"/>
          <w:sz w:val="16"/>
          <w:szCs w:val="16"/>
        </w:rPr>
      </w:pPr>
      <w:r w:rsidRPr="00587034">
        <w:rPr>
          <w:rStyle w:val="EndnoteReference"/>
          <w:rFonts w:asciiTheme="majorHAnsi" w:hAnsiTheme="majorHAnsi" w:cstheme="majorHAnsi"/>
          <w:sz w:val="16"/>
          <w:szCs w:val="16"/>
        </w:rPr>
        <w:endnoteRef/>
      </w:r>
      <w:r w:rsidRPr="00587034">
        <w:rPr>
          <w:rFonts w:asciiTheme="majorHAnsi" w:hAnsiTheme="majorHAnsi" w:cstheme="majorHAnsi"/>
          <w:sz w:val="16"/>
          <w:szCs w:val="16"/>
        </w:rPr>
        <w:t xml:space="preserve"> This includes; 61 million children of primary school age, 62 million adolescents of lower secondary school age and 141 million of upper secondary school age. UNESCO/GEM Report Policy Paper 32/Factsheet 44</w:t>
      </w:r>
      <w:r w:rsidR="00D52C30" w:rsidRPr="00587034">
        <w:rPr>
          <w:rFonts w:asciiTheme="majorHAnsi" w:hAnsiTheme="majorHAnsi" w:cstheme="majorHAnsi"/>
          <w:sz w:val="16"/>
          <w:szCs w:val="16"/>
        </w:rPr>
        <w:t xml:space="preserve"> </w:t>
      </w:r>
    </w:p>
  </w:endnote>
  <w:endnote w:id="3">
    <w:p w14:paraId="32D041B4" w14:textId="1DA46274" w:rsidR="0038652B" w:rsidRPr="00587034" w:rsidRDefault="0038652B" w:rsidP="007E08F1">
      <w:pPr>
        <w:pStyle w:val="NoSpacing"/>
        <w:rPr>
          <w:rFonts w:asciiTheme="majorHAnsi" w:hAnsiTheme="majorHAnsi" w:cstheme="majorHAnsi"/>
          <w:sz w:val="16"/>
          <w:szCs w:val="16"/>
        </w:rPr>
      </w:pPr>
      <w:r w:rsidRPr="00587034">
        <w:rPr>
          <w:rStyle w:val="EndnoteReference"/>
          <w:rFonts w:asciiTheme="majorHAnsi" w:hAnsiTheme="majorHAnsi" w:cstheme="majorHAnsi"/>
          <w:sz w:val="16"/>
          <w:szCs w:val="16"/>
        </w:rPr>
        <w:endnoteRef/>
      </w:r>
      <w:r w:rsidRPr="00587034">
        <w:rPr>
          <w:rFonts w:asciiTheme="majorHAnsi" w:hAnsiTheme="majorHAnsi" w:cstheme="majorHAnsi"/>
          <w:sz w:val="16"/>
          <w:szCs w:val="16"/>
        </w:rPr>
        <w:t xml:space="preserve"> This is for primary and secondary school. Ibid.</w:t>
      </w:r>
    </w:p>
  </w:endnote>
  <w:endnote w:id="4">
    <w:p w14:paraId="440827DA" w14:textId="3E109DAB" w:rsidR="00BB1467" w:rsidRPr="00587034" w:rsidRDefault="00BB1467">
      <w:pPr>
        <w:pStyle w:val="EndnoteText"/>
        <w:rPr>
          <w:rFonts w:asciiTheme="majorHAnsi" w:hAnsiTheme="majorHAnsi" w:cstheme="majorHAnsi"/>
          <w:sz w:val="16"/>
          <w:szCs w:val="16"/>
        </w:rPr>
      </w:pPr>
      <w:r w:rsidRPr="00587034">
        <w:rPr>
          <w:rStyle w:val="EndnoteReference"/>
          <w:rFonts w:asciiTheme="majorHAnsi" w:hAnsiTheme="majorHAnsi" w:cstheme="majorHAnsi"/>
          <w:sz w:val="16"/>
          <w:szCs w:val="16"/>
        </w:rPr>
        <w:endnoteRef/>
      </w:r>
      <w:r w:rsidRPr="00587034">
        <w:rPr>
          <w:rFonts w:asciiTheme="majorHAnsi" w:hAnsiTheme="majorHAnsi" w:cstheme="majorHAnsi"/>
          <w:sz w:val="16"/>
          <w:szCs w:val="16"/>
        </w:rPr>
        <w:t xml:space="preserve"> </w:t>
      </w:r>
      <w:r w:rsidR="00D52C30" w:rsidRPr="00587034">
        <w:rPr>
          <w:rFonts w:asciiTheme="majorHAnsi" w:hAnsiTheme="majorHAnsi" w:cstheme="majorHAnsi"/>
          <w:sz w:val="16"/>
          <w:szCs w:val="16"/>
        </w:rPr>
        <w:t>The level of out-of-school children has</w:t>
      </w:r>
      <w:r w:rsidR="00BC34D7" w:rsidRPr="00587034">
        <w:rPr>
          <w:rFonts w:asciiTheme="majorHAnsi" w:hAnsiTheme="majorHAnsi" w:cstheme="majorHAnsi"/>
          <w:sz w:val="16"/>
          <w:szCs w:val="16"/>
        </w:rPr>
        <w:t xml:space="preserve"> not moved since 2008 at the primary level, since 2012 at the lower secondary level and since 2013 at the upper secondary level</w:t>
      </w:r>
      <w:r w:rsidR="00D52C30" w:rsidRPr="00587034">
        <w:rPr>
          <w:rFonts w:asciiTheme="majorHAnsi" w:hAnsiTheme="majorHAnsi" w:cstheme="majorHAnsi"/>
          <w:sz w:val="16"/>
          <w:szCs w:val="16"/>
        </w:rPr>
        <w:t>. Ibid.</w:t>
      </w:r>
    </w:p>
  </w:endnote>
  <w:endnote w:id="5">
    <w:p w14:paraId="4A71F820" w14:textId="102339CA" w:rsidR="0038652B" w:rsidRPr="00587034" w:rsidRDefault="0038652B">
      <w:pPr>
        <w:pStyle w:val="EndnoteText"/>
        <w:rPr>
          <w:rFonts w:asciiTheme="majorHAnsi" w:hAnsiTheme="majorHAnsi" w:cstheme="majorHAnsi"/>
          <w:sz w:val="16"/>
          <w:szCs w:val="16"/>
        </w:rPr>
      </w:pPr>
      <w:r w:rsidRPr="00587034">
        <w:rPr>
          <w:rStyle w:val="EndnoteReference"/>
          <w:rFonts w:asciiTheme="majorHAnsi" w:hAnsiTheme="majorHAnsi" w:cstheme="majorHAnsi"/>
          <w:sz w:val="16"/>
          <w:szCs w:val="16"/>
        </w:rPr>
        <w:endnoteRef/>
      </w:r>
      <w:r w:rsidRPr="00587034">
        <w:rPr>
          <w:rFonts w:asciiTheme="majorHAnsi" w:hAnsiTheme="majorHAnsi" w:cstheme="majorHAnsi"/>
          <w:sz w:val="16"/>
          <w:szCs w:val="16"/>
        </w:rPr>
        <w:t xml:space="preserve"> </w:t>
      </w:r>
      <w:r w:rsidR="00A965DA" w:rsidRPr="00587034">
        <w:rPr>
          <w:rFonts w:asciiTheme="majorHAnsi" w:hAnsiTheme="majorHAnsi" w:cstheme="majorHAnsi"/>
          <w:sz w:val="16"/>
          <w:szCs w:val="16"/>
        </w:rPr>
        <w:t>Education Commission (2016), ‘The Learning Generation: Investing in education for a changing world’.</w:t>
      </w:r>
    </w:p>
  </w:endnote>
  <w:endnote w:id="6">
    <w:p w14:paraId="566C89B2" w14:textId="1AEE1264" w:rsidR="0038652B" w:rsidRPr="00587034" w:rsidRDefault="0038652B" w:rsidP="007E08F1">
      <w:pPr>
        <w:pStyle w:val="NoSpacing"/>
        <w:rPr>
          <w:rFonts w:asciiTheme="majorHAnsi" w:hAnsiTheme="majorHAnsi" w:cstheme="majorHAnsi"/>
          <w:sz w:val="16"/>
          <w:szCs w:val="16"/>
        </w:rPr>
      </w:pPr>
      <w:r w:rsidRPr="00587034">
        <w:rPr>
          <w:rStyle w:val="EndnoteReference"/>
          <w:rFonts w:asciiTheme="majorHAnsi" w:hAnsiTheme="majorHAnsi" w:cstheme="majorHAnsi"/>
          <w:sz w:val="16"/>
          <w:szCs w:val="16"/>
        </w:rPr>
        <w:endnoteRef/>
      </w:r>
      <w:r w:rsidRPr="00587034">
        <w:rPr>
          <w:rFonts w:asciiTheme="majorHAnsi" w:hAnsiTheme="majorHAnsi" w:cstheme="majorHAnsi"/>
          <w:sz w:val="16"/>
          <w:szCs w:val="16"/>
        </w:rPr>
        <w:t xml:space="preserve"> UNESCO et al. September 2017. More Than One-Half of Children and Adolescents Are Not Learning Worldwide </w:t>
      </w:r>
      <w:r w:rsidRPr="00587034">
        <w:rPr>
          <w:rFonts w:asciiTheme="majorHAnsi" w:hAnsiTheme="majorHAnsi" w:cstheme="majorHAnsi"/>
          <w:color w:val="000000"/>
          <w:sz w:val="16"/>
          <w:szCs w:val="16"/>
        </w:rPr>
        <w:t xml:space="preserve">results. </w:t>
      </w:r>
      <w:r w:rsidR="00D52C30" w:rsidRPr="00587034">
        <w:rPr>
          <w:rFonts w:asciiTheme="majorHAnsi" w:hAnsiTheme="majorHAnsi" w:cstheme="majorHAnsi"/>
          <w:sz w:val="16"/>
          <w:szCs w:val="16"/>
        </w:rPr>
        <w:t xml:space="preserve">Fact Sheet 46. </w:t>
      </w:r>
    </w:p>
  </w:endnote>
  <w:endnote w:id="7">
    <w:p w14:paraId="644CAD04" w14:textId="326CC2D7" w:rsidR="008B7274" w:rsidRPr="00587034" w:rsidRDefault="008B7274">
      <w:pPr>
        <w:pStyle w:val="EndnoteText"/>
        <w:rPr>
          <w:rFonts w:asciiTheme="majorHAnsi" w:hAnsiTheme="majorHAnsi" w:cstheme="majorHAnsi"/>
          <w:sz w:val="16"/>
          <w:szCs w:val="16"/>
        </w:rPr>
      </w:pPr>
      <w:r w:rsidRPr="00587034">
        <w:rPr>
          <w:rStyle w:val="EndnoteReference"/>
          <w:rFonts w:asciiTheme="majorHAnsi" w:hAnsiTheme="majorHAnsi" w:cstheme="majorHAnsi"/>
          <w:sz w:val="16"/>
          <w:szCs w:val="16"/>
        </w:rPr>
        <w:endnoteRef/>
      </w:r>
      <w:r w:rsidRPr="00587034">
        <w:rPr>
          <w:rFonts w:asciiTheme="majorHAnsi" w:hAnsiTheme="majorHAnsi" w:cstheme="majorHAnsi"/>
          <w:sz w:val="16"/>
          <w:szCs w:val="16"/>
        </w:rPr>
        <w:t xml:space="preserve"> </w:t>
      </w:r>
      <w:r w:rsidR="00A965DA" w:rsidRPr="00587034">
        <w:rPr>
          <w:rFonts w:asciiTheme="majorHAnsi" w:hAnsiTheme="majorHAnsi" w:cstheme="majorHAnsi"/>
          <w:sz w:val="16"/>
          <w:szCs w:val="16"/>
        </w:rPr>
        <w:t>Education Commission (2016), ‘The Learning Generation: Investing in education for a changing world’.</w:t>
      </w:r>
    </w:p>
  </w:endnote>
  <w:endnote w:id="8">
    <w:p w14:paraId="74AE82DB" w14:textId="3A444019" w:rsidR="0038652B" w:rsidRPr="00587034" w:rsidRDefault="0038652B" w:rsidP="007E08F1">
      <w:pPr>
        <w:pStyle w:val="NoSpacing"/>
        <w:rPr>
          <w:rFonts w:asciiTheme="majorHAnsi" w:hAnsiTheme="majorHAnsi" w:cstheme="majorHAnsi"/>
          <w:sz w:val="16"/>
          <w:szCs w:val="16"/>
        </w:rPr>
      </w:pPr>
      <w:r w:rsidRPr="00587034">
        <w:rPr>
          <w:rStyle w:val="EndnoteReference"/>
          <w:rFonts w:asciiTheme="majorHAnsi" w:hAnsiTheme="majorHAnsi" w:cstheme="majorHAnsi"/>
          <w:sz w:val="16"/>
          <w:szCs w:val="16"/>
        </w:rPr>
        <w:endnoteRef/>
      </w:r>
      <w:r w:rsidRPr="00587034">
        <w:rPr>
          <w:rFonts w:asciiTheme="majorHAnsi" w:hAnsiTheme="majorHAnsi" w:cstheme="majorHAnsi"/>
          <w:sz w:val="16"/>
          <w:szCs w:val="16"/>
        </w:rPr>
        <w:t xml:space="preserve"> Of which 102 million are aged 15-24. UNESCO. September 2017. Literacy Rates Continue to Rise from One Generation to the Next Fact Sheet No. 45. </w:t>
      </w:r>
    </w:p>
  </w:endnote>
  <w:endnote w:id="9">
    <w:p w14:paraId="01BB3959" w14:textId="5E491A56" w:rsidR="001E5508" w:rsidRPr="00587034" w:rsidRDefault="001E5508" w:rsidP="001E5508">
      <w:pPr>
        <w:pStyle w:val="NoSpacing"/>
        <w:rPr>
          <w:rFonts w:asciiTheme="majorHAnsi" w:hAnsiTheme="majorHAnsi" w:cstheme="majorHAnsi"/>
          <w:sz w:val="16"/>
          <w:szCs w:val="16"/>
        </w:rPr>
      </w:pPr>
      <w:r w:rsidRPr="00587034">
        <w:rPr>
          <w:rStyle w:val="EndnoteReference"/>
          <w:rFonts w:asciiTheme="majorHAnsi" w:hAnsiTheme="majorHAnsi" w:cstheme="majorHAnsi"/>
          <w:sz w:val="16"/>
          <w:szCs w:val="16"/>
        </w:rPr>
        <w:endnoteRef/>
      </w:r>
      <w:r w:rsidRPr="00587034">
        <w:rPr>
          <w:rFonts w:asciiTheme="majorHAnsi" w:hAnsiTheme="majorHAnsi" w:cstheme="majorHAnsi"/>
          <w:sz w:val="16"/>
          <w:szCs w:val="16"/>
        </w:rPr>
        <w:t xml:space="preserve"> See GPE’s ‘Case for Investment’ for a summary of evidence: </w:t>
      </w:r>
      <w:hyperlink r:id="rId1" w:history="1">
        <w:r w:rsidR="00D52C30" w:rsidRPr="00587034">
          <w:rPr>
            <w:rStyle w:val="Hyperlink"/>
            <w:rFonts w:asciiTheme="majorHAnsi" w:hAnsiTheme="majorHAnsi" w:cstheme="majorHAnsi"/>
            <w:sz w:val="16"/>
            <w:szCs w:val="16"/>
          </w:rPr>
          <w:t>https://replenishment.globalpartnership.org/en/case-for-investment/</w:t>
        </w:r>
      </w:hyperlink>
    </w:p>
  </w:endnote>
  <w:endnote w:id="10">
    <w:p w14:paraId="147A58E4" w14:textId="374BFFC2" w:rsidR="0038652B" w:rsidRPr="00587034" w:rsidRDefault="0038652B" w:rsidP="0025179A">
      <w:pPr>
        <w:pStyle w:val="EndnoteText"/>
        <w:rPr>
          <w:rFonts w:asciiTheme="majorHAnsi" w:hAnsiTheme="majorHAnsi" w:cstheme="majorHAnsi"/>
          <w:sz w:val="16"/>
          <w:szCs w:val="16"/>
        </w:rPr>
      </w:pPr>
      <w:r w:rsidRPr="00587034">
        <w:rPr>
          <w:rStyle w:val="EndnoteReference"/>
          <w:rFonts w:asciiTheme="majorHAnsi" w:hAnsiTheme="majorHAnsi" w:cstheme="majorHAnsi"/>
          <w:sz w:val="16"/>
          <w:szCs w:val="16"/>
        </w:rPr>
        <w:endnoteRef/>
      </w:r>
      <w:r w:rsidRPr="00587034">
        <w:rPr>
          <w:rFonts w:asciiTheme="majorHAnsi" w:hAnsiTheme="majorHAnsi" w:cstheme="majorHAnsi"/>
          <w:sz w:val="16"/>
          <w:szCs w:val="16"/>
        </w:rPr>
        <w:t xml:space="preserve"> UNESCO GEMR (2016b) ‘</w:t>
      </w:r>
      <w:r w:rsidRPr="00587034">
        <w:rPr>
          <w:rFonts w:asciiTheme="majorHAnsi" w:hAnsiTheme="majorHAnsi" w:cstheme="majorHAnsi"/>
          <w:i/>
          <w:sz w:val="16"/>
          <w:szCs w:val="16"/>
        </w:rPr>
        <w:t>Global Education Monitoring Report 2016.</w:t>
      </w:r>
      <w:r w:rsidRPr="00587034">
        <w:rPr>
          <w:rFonts w:asciiTheme="majorHAnsi" w:hAnsiTheme="majorHAnsi" w:cstheme="majorHAnsi"/>
          <w:sz w:val="16"/>
          <w:szCs w:val="16"/>
        </w:rPr>
        <w:t xml:space="preserve"> </w:t>
      </w:r>
      <w:r w:rsidRPr="00587034">
        <w:rPr>
          <w:rFonts w:asciiTheme="majorHAnsi" w:hAnsiTheme="majorHAnsi" w:cstheme="majorHAnsi"/>
          <w:i/>
          <w:sz w:val="16"/>
          <w:szCs w:val="16"/>
        </w:rPr>
        <w:t>Education for people and planet: Creating sustainable futures for all</w:t>
      </w:r>
      <w:r w:rsidR="00D52C30" w:rsidRPr="00587034">
        <w:rPr>
          <w:rFonts w:asciiTheme="majorHAnsi" w:hAnsiTheme="majorHAnsi" w:cstheme="majorHAnsi"/>
          <w:sz w:val="16"/>
          <w:szCs w:val="16"/>
        </w:rPr>
        <w:t xml:space="preserve">’. </w:t>
      </w:r>
    </w:p>
  </w:endnote>
  <w:endnote w:id="11">
    <w:p w14:paraId="039A2351" w14:textId="0B1F1910" w:rsidR="0038652B" w:rsidRPr="00587034" w:rsidRDefault="0038652B" w:rsidP="0025179A">
      <w:pPr>
        <w:pStyle w:val="EndnoteText"/>
        <w:rPr>
          <w:rFonts w:asciiTheme="majorHAnsi" w:hAnsiTheme="majorHAnsi" w:cstheme="majorHAnsi"/>
          <w:sz w:val="16"/>
          <w:szCs w:val="16"/>
        </w:rPr>
      </w:pPr>
      <w:r w:rsidRPr="00587034">
        <w:rPr>
          <w:rStyle w:val="EndnoteReference"/>
          <w:rFonts w:asciiTheme="majorHAnsi" w:hAnsiTheme="majorHAnsi" w:cstheme="majorHAnsi"/>
          <w:sz w:val="16"/>
          <w:szCs w:val="16"/>
        </w:rPr>
        <w:endnoteRef/>
      </w:r>
      <w:r w:rsidRPr="00587034">
        <w:rPr>
          <w:rFonts w:asciiTheme="majorHAnsi" w:hAnsiTheme="majorHAnsi" w:cstheme="majorHAnsi"/>
          <w:sz w:val="16"/>
          <w:szCs w:val="16"/>
        </w:rPr>
        <w:t xml:space="preserve"> Education Commission (2016), ‘The Learning Generation: Investing in educatio</w:t>
      </w:r>
      <w:r w:rsidR="00D52C30" w:rsidRPr="00587034">
        <w:rPr>
          <w:rFonts w:asciiTheme="majorHAnsi" w:hAnsiTheme="majorHAnsi" w:cstheme="majorHAnsi"/>
          <w:sz w:val="16"/>
          <w:szCs w:val="16"/>
        </w:rPr>
        <w:t xml:space="preserve">n for a changing world’. </w:t>
      </w:r>
    </w:p>
  </w:endnote>
  <w:endnote w:id="12">
    <w:p w14:paraId="5807C6D4" w14:textId="0999B7B1" w:rsidR="0038652B" w:rsidRPr="00587034" w:rsidRDefault="0038652B">
      <w:pPr>
        <w:pStyle w:val="EndnoteText"/>
        <w:rPr>
          <w:rFonts w:asciiTheme="majorHAnsi" w:hAnsiTheme="majorHAnsi" w:cstheme="majorHAnsi"/>
          <w:sz w:val="16"/>
          <w:szCs w:val="16"/>
        </w:rPr>
      </w:pPr>
      <w:r w:rsidRPr="00587034">
        <w:rPr>
          <w:rStyle w:val="EndnoteReference"/>
          <w:rFonts w:asciiTheme="majorHAnsi" w:hAnsiTheme="majorHAnsi" w:cstheme="majorHAnsi"/>
          <w:sz w:val="16"/>
          <w:szCs w:val="16"/>
        </w:rPr>
        <w:endnoteRef/>
      </w:r>
      <w:r w:rsidRPr="00587034">
        <w:rPr>
          <w:rFonts w:asciiTheme="majorHAnsi" w:hAnsiTheme="majorHAnsi" w:cstheme="majorHAnsi"/>
          <w:sz w:val="16"/>
          <w:szCs w:val="16"/>
        </w:rPr>
        <w:t xml:space="preserve"> See GPE’s Case for Investment: </w:t>
      </w:r>
      <w:hyperlink r:id="rId2" w:history="1">
        <w:r w:rsidRPr="00587034">
          <w:rPr>
            <w:rStyle w:val="Hyperlink"/>
            <w:rFonts w:asciiTheme="majorHAnsi" w:hAnsiTheme="majorHAnsi" w:cstheme="majorHAnsi"/>
            <w:sz w:val="16"/>
            <w:szCs w:val="16"/>
          </w:rPr>
          <w:t>https://replenishment.globalpartnership.org/en/case-for-investment/</w:t>
        </w:r>
      </w:hyperlink>
      <w:r w:rsidRPr="00587034">
        <w:rPr>
          <w:rFonts w:asciiTheme="majorHAnsi" w:hAnsiTheme="majorHAnsi" w:cstheme="majorHAnsi"/>
          <w:sz w:val="16"/>
          <w:szCs w:val="16"/>
        </w:rPr>
        <w:t xml:space="preserve"> </w:t>
      </w:r>
    </w:p>
  </w:endnote>
  <w:endnote w:id="13">
    <w:p w14:paraId="45F2F6F6" w14:textId="59490CFB" w:rsidR="0038652B" w:rsidRPr="00587034" w:rsidRDefault="0038652B" w:rsidP="004F3999">
      <w:pPr>
        <w:pStyle w:val="EndnoteText"/>
        <w:rPr>
          <w:rFonts w:asciiTheme="majorHAnsi" w:hAnsiTheme="majorHAnsi" w:cstheme="majorHAnsi"/>
          <w:sz w:val="16"/>
          <w:szCs w:val="16"/>
        </w:rPr>
      </w:pPr>
      <w:r w:rsidRPr="00587034">
        <w:rPr>
          <w:rStyle w:val="EndnoteReference"/>
          <w:rFonts w:asciiTheme="majorHAnsi" w:hAnsiTheme="majorHAnsi" w:cstheme="majorHAnsi"/>
          <w:sz w:val="16"/>
          <w:szCs w:val="16"/>
        </w:rPr>
        <w:endnoteRef/>
      </w:r>
      <w:r w:rsidRPr="00587034">
        <w:rPr>
          <w:rFonts w:asciiTheme="majorHAnsi" w:hAnsiTheme="majorHAnsi" w:cstheme="majorHAnsi"/>
          <w:sz w:val="16"/>
          <w:szCs w:val="16"/>
        </w:rPr>
        <w:t xml:space="preserve"> In February 2017, GPE introduced a new allocation model based on a needs index; this combines the primary and lower secondary school age population with the lower secondary completion rate and income per capita, and makes an adjustment for fragile and conflict affected countries.</w:t>
      </w:r>
    </w:p>
  </w:endnote>
  <w:endnote w:id="14">
    <w:p w14:paraId="661C0312" w14:textId="7B62C478" w:rsidR="0038652B" w:rsidRPr="00587034" w:rsidRDefault="0038652B" w:rsidP="005E5967">
      <w:pPr>
        <w:pStyle w:val="NoSpacing"/>
        <w:rPr>
          <w:rFonts w:asciiTheme="majorHAnsi" w:hAnsiTheme="majorHAnsi" w:cstheme="majorHAnsi"/>
          <w:sz w:val="16"/>
          <w:szCs w:val="16"/>
        </w:rPr>
      </w:pPr>
      <w:r w:rsidRPr="00587034">
        <w:rPr>
          <w:rFonts w:asciiTheme="majorHAnsi" w:hAnsiTheme="majorHAnsi" w:cstheme="majorHAnsi"/>
          <w:sz w:val="16"/>
          <w:szCs w:val="16"/>
          <w:vertAlign w:val="superscript"/>
        </w:rPr>
        <w:endnoteRef/>
      </w:r>
      <w:r w:rsidRPr="00587034">
        <w:rPr>
          <w:rFonts w:asciiTheme="majorHAnsi" w:hAnsiTheme="majorHAnsi" w:cstheme="majorHAnsi"/>
          <w:sz w:val="16"/>
          <w:szCs w:val="16"/>
          <w:vertAlign w:val="superscript"/>
        </w:rPr>
        <w:t xml:space="preserve"> </w:t>
      </w:r>
      <w:r w:rsidRPr="00587034">
        <w:rPr>
          <w:rFonts w:asciiTheme="majorHAnsi" w:hAnsiTheme="majorHAnsi" w:cstheme="majorHAnsi"/>
          <w:sz w:val="16"/>
          <w:szCs w:val="16"/>
        </w:rPr>
        <w:t>A country applying for an education sector program implementation grant is required to show that efforts were made to increase domestic spending on education to at least 20% of the national budget to be eligible for GPE funding. This approach has been shown increase domestic resources allocated to education; 78% of GPE partner countries have maintained their increase their education budget at or above 20%, in 2015. Source: GPE results report 2</w:t>
      </w:r>
      <w:r w:rsidR="00D52C30" w:rsidRPr="00587034">
        <w:rPr>
          <w:rFonts w:asciiTheme="majorHAnsi" w:hAnsiTheme="majorHAnsi" w:cstheme="majorHAnsi"/>
          <w:sz w:val="16"/>
          <w:szCs w:val="16"/>
        </w:rPr>
        <w:t>015/2016.</w:t>
      </w:r>
      <w:r w:rsidR="00D52C30" w:rsidRPr="00587034">
        <w:rPr>
          <w:rStyle w:val="Hyperlink"/>
          <w:rFonts w:asciiTheme="majorHAnsi" w:hAnsiTheme="majorHAnsi" w:cstheme="majorHAnsi"/>
          <w:color w:val="auto"/>
          <w:sz w:val="16"/>
          <w:szCs w:val="16"/>
          <w:u w:val="none"/>
        </w:rPr>
        <w:t xml:space="preserve"> See </w:t>
      </w:r>
      <w:hyperlink r:id="rId3" w:history="1">
        <w:r w:rsidR="00D52C30" w:rsidRPr="00587034">
          <w:rPr>
            <w:rStyle w:val="Hyperlink"/>
            <w:rFonts w:asciiTheme="majorHAnsi" w:hAnsiTheme="majorHAnsi" w:cstheme="majorHAnsi"/>
            <w:sz w:val="16"/>
            <w:szCs w:val="16"/>
          </w:rPr>
          <w:t>http://www.globalpartnership.org/content/2016-results-report</w:t>
        </w:r>
      </w:hyperlink>
      <w:r w:rsidR="00D52C30" w:rsidRPr="00587034">
        <w:rPr>
          <w:rStyle w:val="Hyperlink"/>
          <w:rFonts w:asciiTheme="majorHAnsi" w:hAnsiTheme="majorHAnsi" w:cstheme="majorHAnsi"/>
          <w:color w:val="auto"/>
          <w:sz w:val="16"/>
          <w:szCs w:val="16"/>
        </w:rPr>
        <w:t xml:space="preserve"> </w:t>
      </w:r>
    </w:p>
  </w:endnote>
  <w:endnote w:id="15">
    <w:p w14:paraId="76C8C44E" w14:textId="77777777" w:rsidR="0038652B" w:rsidRPr="00587034" w:rsidRDefault="0038652B" w:rsidP="005E5967">
      <w:pPr>
        <w:pStyle w:val="NoSpacing"/>
        <w:rPr>
          <w:rFonts w:asciiTheme="majorHAnsi" w:hAnsiTheme="majorHAnsi" w:cstheme="majorHAnsi"/>
          <w:sz w:val="16"/>
          <w:szCs w:val="16"/>
        </w:rPr>
      </w:pPr>
      <w:r w:rsidRPr="00587034">
        <w:rPr>
          <w:rStyle w:val="EndnoteReference"/>
          <w:rFonts w:asciiTheme="majorHAnsi" w:hAnsiTheme="majorHAnsi" w:cstheme="majorHAnsi"/>
          <w:sz w:val="16"/>
          <w:szCs w:val="16"/>
        </w:rPr>
        <w:endnoteRef/>
      </w:r>
      <w:r w:rsidRPr="00587034">
        <w:rPr>
          <w:rFonts w:asciiTheme="majorHAnsi" w:hAnsiTheme="majorHAnsi" w:cstheme="majorHAnsi"/>
          <w:sz w:val="16"/>
          <w:szCs w:val="16"/>
        </w:rPr>
        <w:t xml:space="preserve"> Education Commission (2016), ‘The Learning Generation: Investing in education for a changing world’.</w:t>
      </w:r>
    </w:p>
  </w:endnote>
  <w:endnote w:id="16">
    <w:p w14:paraId="70E970B2" w14:textId="10F7E147" w:rsidR="0038652B" w:rsidRPr="00587034" w:rsidRDefault="0038652B" w:rsidP="005E5967">
      <w:pPr>
        <w:pStyle w:val="NoSpacing"/>
        <w:rPr>
          <w:rFonts w:asciiTheme="majorHAnsi" w:hAnsiTheme="majorHAnsi" w:cstheme="majorHAnsi"/>
          <w:sz w:val="16"/>
          <w:szCs w:val="16"/>
        </w:rPr>
      </w:pPr>
      <w:r w:rsidRPr="00587034">
        <w:rPr>
          <w:rStyle w:val="EndnoteReference"/>
          <w:rFonts w:asciiTheme="majorHAnsi" w:hAnsiTheme="majorHAnsi" w:cstheme="majorHAnsi"/>
          <w:sz w:val="16"/>
          <w:szCs w:val="16"/>
        </w:rPr>
        <w:endnoteRef/>
      </w:r>
      <w:r w:rsidRPr="00587034">
        <w:rPr>
          <w:rFonts w:asciiTheme="majorHAnsi" w:hAnsiTheme="majorHAnsi" w:cstheme="majorHAnsi"/>
          <w:sz w:val="16"/>
          <w:szCs w:val="16"/>
        </w:rPr>
        <w:t xml:space="preserve"> UNESCO GEMR (2016b) ‘</w:t>
      </w:r>
      <w:r w:rsidRPr="00587034">
        <w:rPr>
          <w:rFonts w:asciiTheme="majorHAnsi" w:hAnsiTheme="majorHAnsi" w:cstheme="majorHAnsi"/>
          <w:i/>
          <w:sz w:val="16"/>
          <w:szCs w:val="16"/>
        </w:rPr>
        <w:t>Global Education Monitoring Report 2016.</w:t>
      </w:r>
      <w:r w:rsidRPr="00587034">
        <w:rPr>
          <w:rFonts w:asciiTheme="majorHAnsi" w:hAnsiTheme="majorHAnsi" w:cstheme="majorHAnsi"/>
          <w:sz w:val="16"/>
          <w:szCs w:val="16"/>
        </w:rPr>
        <w:t xml:space="preserve"> </w:t>
      </w:r>
      <w:r w:rsidRPr="00587034">
        <w:rPr>
          <w:rFonts w:asciiTheme="majorHAnsi" w:hAnsiTheme="majorHAnsi" w:cstheme="majorHAnsi"/>
          <w:i/>
          <w:sz w:val="16"/>
          <w:szCs w:val="16"/>
        </w:rPr>
        <w:t>Education for people and planet: Creating sustainable futures for all</w:t>
      </w:r>
      <w:r w:rsidRPr="00587034">
        <w:rPr>
          <w:rFonts w:asciiTheme="majorHAnsi" w:hAnsiTheme="majorHAnsi" w:cstheme="majorHAnsi"/>
          <w:sz w:val="16"/>
          <w:szCs w:val="16"/>
        </w:rPr>
        <w:t xml:space="preserve">’. </w:t>
      </w:r>
    </w:p>
  </w:endnote>
  <w:endnote w:id="17">
    <w:p w14:paraId="3F8A4A0A" w14:textId="72C712EB" w:rsidR="0038652B" w:rsidRPr="00587034" w:rsidRDefault="0038652B" w:rsidP="005E5967">
      <w:pPr>
        <w:pStyle w:val="NoSpacing"/>
        <w:rPr>
          <w:rFonts w:asciiTheme="majorHAnsi" w:hAnsiTheme="majorHAnsi" w:cstheme="majorHAnsi"/>
          <w:sz w:val="16"/>
          <w:szCs w:val="16"/>
        </w:rPr>
      </w:pPr>
      <w:r w:rsidRPr="00587034">
        <w:rPr>
          <w:rStyle w:val="EndnoteReference"/>
          <w:rFonts w:asciiTheme="majorHAnsi" w:hAnsiTheme="majorHAnsi" w:cstheme="majorHAnsi"/>
          <w:sz w:val="16"/>
          <w:szCs w:val="16"/>
        </w:rPr>
        <w:endnoteRef/>
      </w:r>
      <w:r w:rsidRPr="00587034">
        <w:rPr>
          <w:rFonts w:asciiTheme="majorHAnsi" w:hAnsiTheme="majorHAnsi" w:cstheme="majorHAnsi"/>
          <w:sz w:val="16"/>
          <w:szCs w:val="16"/>
        </w:rPr>
        <w:t xml:space="preserve"> The allocation of 20% of national budgets towards education, is an internationally recognised benchmark.</w:t>
      </w:r>
    </w:p>
  </w:endnote>
  <w:endnote w:id="18">
    <w:p w14:paraId="1FB0A4C7" w14:textId="77777777" w:rsidR="00D52C30" w:rsidRPr="00587034" w:rsidRDefault="0038652B" w:rsidP="004F3999">
      <w:pPr>
        <w:pStyle w:val="Heading1"/>
        <w:spacing w:before="0"/>
        <w:ind w:right="-14550"/>
        <w:rPr>
          <w:rFonts w:cstheme="majorHAnsi"/>
          <w:bCs/>
          <w:color w:val="auto"/>
          <w:spacing w:val="-5"/>
          <w:sz w:val="16"/>
          <w:szCs w:val="16"/>
        </w:rPr>
      </w:pPr>
      <w:r w:rsidRPr="00587034">
        <w:rPr>
          <w:rStyle w:val="EndnoteReference"/>
          <w:rFonts w:cstheme="majorHAnsi"/>
          <w:color w:val="auto"/>
          <w:sz w:val="16"/>
          <w:szCs w:val="16"/>
        </w:rPr>
        <w:endnoteRef/>
      </w:r>
      <w:r w:rsidRPr="00587034">
        <w:rPr>
          <w:rFonts w:cstheme="majorHAnsi"/>
          <w:color w:val="auto"/>
          <w:sz w:val="16"/>
          <w:szCs w:val="16"/>
        </w:rPr>
        <w:t xml:space="preserve"> See, ActionAid, 2016, </w:t>
      </w:r>
      <w:r w:rsidRPr="00587034">
        <w:rPr>
          <w:rFonts w:cstheme="majorHAnsi"/>
          <w:bCs/>
          <w:color w:val="auto"/>
          <w:spacing w:val="-5"/>
          <w:sz w:val="16"/>
          <w:szCs w:val="16"/>
        </w:rPr>
        <w:t>The Learning Generation: Domestic Tax and Education, for more information</w:t>
      </w:r>
    </w:p>
    <w:p w14:paraId="6D7FC58E" w14:textId="108A2B6D" w:rsidR="0038652B" w:rsidRPr="00587034" w:rsidRDefault="0038652B" w:rsidP="004F3999">
      <w:pPr>
        <w:pStyle w:val="Heading1"/>
        <w:spacing w:before="0"/>
        <w:ind w:right="-14550"/>
        <w:rPr>
          <w:rFonts w:cstheme="majorHAnsi"/>
          <w:color w:val="auto"/>
          <w:spacing w:val="-5"/>
          <w:sz w:val="16"/>
          <w:szCs w:val="16"/>
        </w:rPr>
      </w:pPr>
      <w:r w:rsidRPr="00587034">
        <w:rPr>
          <w:rFonts w:cstheme="majorHAnsi"/>
          <w:bCs/>
          <w:color w:val="auto"/>
          <w:spacing w:val="-5"/>
          <w:sz w:val="16"/>
          <w:szCs w:val="16"/>
        </w:rPr>
        <w:t xml:space="preserve"> </w:t>
      </w:r>
      <w:hyperlink r:id="rId4" w:history="1">
        <w:r w:rsidRPr="00587034">
          <w:rPr>
            <w:rStyle w:val="Hyperlink"/>
            <w:rFonts w:cstheme="majorHAnsi"/>
            <w:spacing w:val="-5"/>
            <w:sz w:val="16"/>
            <w:szCs w:val="16"/>
          </w:rPr>
          <w:t>http://www.actionaid.org/publications/learning-generation-domestic-tax-and-education</w:t>
        </w:r>
      </w:hyperlink>
      <w:r w:rsidRPr="00587034">
        <w:rPr>
          <w:rFonts w:cstheme="majorHAnsi"/>
          <w:bCs/>
          <w:color w:val="auto"/>
          <w:spacing w:val="-5"/>
          <w:sz w:val="16"/>
          <w:szCs w:val="16"/>
        </w:rPr>
        <w:t xml:space="preserve"> </w:t>
      </w:r>
    </w:p>
  </w:endnote>
  <w:endnote w:id="19">
    <w:p w14:paraId="2A7C8B59" w14:textId="4BABF1BC" w:rsidR="0038652B" w:rsidRPr="00587034" w:rsidRDefault="0038652B" w:rsidP="0003114B">
      <w:pPr>
        <w:pStyle w:val="EndnoteText"/>
        <w:rPr>
          <w:rFonts w:asciiTheme="majorHAnsi" w:hAnsiTheme="majorHAnsi" w:cstheme="majorHAnsi"/>
          <w:sz w:val="16"/>
          <w:szCs w:val="16"/>
        </w:rPr>
      </w:pPr>
      <w:r w:rsidRPr="00587034">
        <w:rPr>
          <w:rStyle w:val="EndnoteReference"/>
          <w:rFonts w:asciiTheme="majorHAnsi" w:hAnsiTheme="majorHAnsi" w:cstheme="majorHAnsi"/>
          <w:sz w:val="16"/>
          <w:szCs w:val="16"/>
        </w:rPr>
        <w:endnoteRef/>
      </w:r>
      <w:r w:rsidRPr="00587034">
        <w:rPr>
          <w:rFonts w:asciiTheme="majorHAnsi" w:hAnsiTheme="majorHAnsi" w:cstheme="majorHAnsi"/>
          <w:sz w:val="16"/>
          <w:szCs w:val="16"/>
        </w:rPr>
        <w:t xml:space="preserve"> Estimates that reaching universal pre-primary, primary and secondary education – of good quality – in low- and lower-middle-income countries will require a total of US$340 billion per year. Even if low-income countries spend over 6% of GDP on education this will still leave a US$39 billion gap. </w:t>
      </w:r>
    </w:p>
  </w:endnote>
  <w:endnote w:id="20">
    <w:p w14:paraId="3ACAB677" w14:textId="0D17BF24" w:rsidR="0038652B" w:rsidRPr="00587034" w:rsidRDefault="0038652B" w:rsidP="004F3999">
      <w:pPr>
        <w:pStyle w:val="EndnoteText"/>
        <w:rPr>
          <w:rFonts w:asciiTheme="majorHAnsi" w:hAnsiTheme="majorHAnsi" w:cstheme="majorHAnsi"/>
          <w:sz w:val="16"/>
          <w:szCs w:val="16"/>
        </w:rPr>
      </w:pPr>
      <w:r w:rsidRPr="00587034">
        <w:rPr>
          <w:rStyle w:val="EndnoteReference"/>
          <w:rFonts w:asciiTheme="majorHAnsi" w:hAnsiTheme="majorHAnsi" w:cstheme="majorHAnsi"/>
          <w:sz w:val="16"/>
          <w:szCs w:val="16"/>
        </w:rPr>
        <w:endnoteRef/>
      </w:r>
      <w:r w:rsidRPr="00587034">
        <w:rPr>
          <w:rFonts w:asciiTheme="majorHAnsi" w:hAnsiTheme="majorHAnsi" w:cstheme="majorHAnsi"/>
          <w:sz w:val="16"/>
          <w:szCs w:val="16"/>
        </w:rPr>
        <w:t xml:space="preserve"> 2017 Aid to Education is Stagnating and Not Going to Countries Most in Need, published by UNESCO’s Global Education Monitoring (GEM) Report</w:t>
      </w:r>
    </w:p>
  </w:endnote>
  <w:endnote w:id="21">
    <w:p w14:paraId="3680047E" w14:textId="77D36CB8" w:rsidR="0038652B" w:rsidRPr="00587034" w:rsidRDefault="0038652B">
      <w:pPr>
        <w:pStyle w:val="EndnoteText"/>
        <w:rPr>
          <w:rFonts w:asciiTheme="majorHAnsi" w:hAnsiTheme="majorHAnsi" w:cstheme="majorHAnsi"/>
          <w:sz w:val="16"/>
          <w:szCs w:val="16"/>
        </w:rPr>
      </w:pPr>
      <w:r w:rsidRPr="00587034">
        <w:rPr>
          <w:rStyle w:val="EndnoteReference"/>
          <w:rFonts w:asciiTheme="majorHAnsi" w:hAnsiTheme="majorHAnsi" w:cstheme="majorHAnsi"/>
          <w:sz w:val="16"/>
          <w:szCs w:val="16"/>
        </w:rPr>
        <w:endnoteRef/>
      </w:r>
      <w:r w:rsidRPr="00587034">
        <w:rPr>
          <w:rFonts w:asciiTheme="majorHAnsi" w:hAnsiTheme="majorHAnsi" w:cstheme="majorHAnsi"/>
          <w:sz w:val="16"/>
          <w:szCs w:val="16"/>
        </w:rPr>
        <w:t xml:space="preserve"> This is an extract from the GCE’s </w:t>
      </w:r>
      <w:hyperlink r:id="rId5" w:history="1">
        <w:r w:rsidRPr="00587034">
          <w:rPr>
            <w:rStyle w:val="Hyperlink"/>
            <w:rFonts w:asciiTheme="majorHAnsi" w:hAnsiTheme="majorHAnsi" w:cstheme="majorHAnsi"/>
            <w:sz w:val="16"/>
            <w:szCs w:val="16"/>
          </w:rPr>
          <w:t>Global Call to Action</w:t>
        </w:r>
      </w:hyperlink>
      <w:r w:rsidRPr="00587034">
        <w:rPr>
          <w:rFonts w:asciiTheme="majorHAnsi" w:hAnsiTheme="majorHAnsi" w:cstheme="majorHAnsi"/>
          <w:sz w:val="16"/>
          <w:szCs w:val="16"/>
        </w:rPr>
        <w:t xml:space="preserve"> on education financing.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D0E4E" w14:textId="77777777" w:rsidR="0041266F" w:rsidRDefault="0041266F" w:rsidP="00816D7A">
      <w:pPr>
        <w:spacing w:after="0" w:line="240" w:lineRule="auto"/>
      </w:pPr>
      <w:r>
        <w:separator/>
      </w:r>
    </w:p>
  </w:footnote>
  <w:footnote w:type="continuationSeparator" w:id="0">
    <w:p w14:paraId="636F654D" w14:textId="77777777" w:rsidR="0041266F" w:rsidRDefault="0041266F" w:rsidP="00816D7A">
      <w:pPr>
        <w:spacing w:after="0" w:line="240" w:lineRule="auto"/>
      </w:pPr>
      <w:r>
        <w:continuationSeparator/>
      </w:r>
    </w:p>
  </w:footnote>
  <w:footnote w:id="1">
    <w:p w14:paraId="1FDDC316" w14:textId="77777777" w:rsidR="00DA6202" w:rsidRPr="00587034" w:rsidRDefault="00DA6202" w:rsidP="00DA6202">
      <w:pPr>
        <w:pStyle w:val="NoSpacing"/>
        <w:rPr>
          <w:rFonts w:asciiTheme="majorHAnsi" w:hAnsiTheme="majorHAnsi" w:cstheme="majorHAnsi"/>
          <w:sz w:val="16"/>
          <w:szCs w:val="16"/>
        </w:rPr>
      </w:pPr>
      <w:r w:rsidRPr="00587034">
        <w:rPr>
          <w:rStyle w:val="FootnoteReference"/>
          <w:rFonts w:asciiTheme="majorHAnsi" w:hAnsiTheme="majorHAnsi" w:cstheme="majorHAnsi"/>
          <w:sz w:val="16"/>
          <w:szCs w:val="16"/>
        </w:rPr>
        <w:footnoteRef/>
      </w:r>
      <w:r w:rsidRPr="00587034">
        <w:rPr>
          <w:rFonts w:asciiTheme="majorHAnsi" w:hAnsiTheme="majorHAnsi" w:cstheme="majorHAnsi"/>
          <w:sz w:val="16"/>
          <w:szCs w:val="16"/>
        </w:rPr>
        <w:t xml:space="preserve"> UNESCO and GEM (June 2017). ‘Reducing global poverty through universal primary and secondary education’. Policy Paper 32 / Fact Sheet 44. p.1</w:t>
      </w:r>
    </w:p>
  </w:footnote>
  <w:footnote w:id="2">
    <w:p w14:paraId="1991EDC6" w14:textId="77777777" w:rsidR="00DA6202" w:rsidRPr="00587034" w:rsidRDefault="00DA6202" w:rsidP="00DA6202">
      <w:pPr>
        <w:pStyle w:val="NoSpacing"/>
        <w:rPr>
          <w:rFonts w:asciiTheme="majorHAnsi" w:hAnsiTheme="majorHAnsi" w:cstheme="majorHAnsi"/>
          <w:sz w:val="16"/>
          <w:szCs w:val="16"/>
        </w:rPr>
      </w:pPr>
      <w:r w:rsidRPr="00587034">
        <w:rPr>
          <w:rStyle w:val="FootnoteReference"/>
          <w:rFonts w:asciiTheme="majorHAnsi" w:hAnsiTheme="majorHAnsi" w:cstheme="majorHAnsi"/>
          <w:sz w:val="16"/>
          <w:szCs w:val="16"/>
        </w:rPr>
        <w:footnoteRef/>
      </w:r>
      <w:r w:rsidRPr="00587034">
        <w:rPr>
          <w:rFonts w:asciiTheme="majorHAnsi" w:hAnsiTheme="majorHAnsi" w:cstheme="majorHAnsi"/>
          <w:sz w:val="16"/>
          <w:szCs w:val="16"/>
        </w:rPr>
        <w:t xml:space="preserve"> UNESCO GEMR (2014) ‘Teaching and Learning: Achieving Education for All’. p.19</w:t>
      </w:r>
    </w:p>
  </w:footnote>
  <w:footnote w:id="3">
    <w:p w14:paraId="0A1A11C3" w14:textId="3140B62C" w:rsidR="00173B81" w:rsidRPr="00587034" w:rsidRDefault="00173B81">
      <w:pPr>
        <w:pStyle w:val="FootnoteText"/>
        <w:rPr>
          <w:rFonts w:asciiTheme="majorHAnsi" w:hAnsiTheme="majorHAnsi" w:cstheme="majorHAnsi"/>
          <w:sz w:val="16"/>
          <w:szCs w:val="16"/>
        </w:rPr>
      </w:pPr>
      <w:r w:rsidRPr="00587034">
        <w:rPr>
          <w:rStyle w:val="FootnoteReference"/>
          <w:rFonts w:asciiTheme="majorHAnsi" w:hAnsiTheme="majorHAnsi" w:cstheme="majorHAnsi"/>
          <w:sz w:val="16"/>
          <w:szCs w:val="16"/>
        </w:rPr>
        <w:footnoteRef/>
      </w:r>
      <w:r w:rsidRPr="00587034">
        <w:rPr>
          <w:rFonts w:asciiTheme="majorHAnsi" w:hAnsiTheme="majorHAnsi" w:cstheme="majorHAnsi"/>
          <w:sz w:val="16"/>
          <w:szCs w:val="16"/>
        </w:rPr>
        <w:t xml:space="preserve"> UIS estimates there are 614 million children currently not learning the basics http://uis.unesco.org/sites/default/files/documents/fs46-more-than-half-children-not-learning-en-2017.pdf</w:t>
      </w:r>
    </w:p>
  </w:footnote>
  <w:footnote w:id="4">
    <w:p w14:paraId="0E5B830C" w14:textId="77777777" w:rsidR="00DA6202" w:rsidRPr="00587034" w:rsidRDefault="00DA6202" w:rsidP="00DA6202">
      <w:pPr>
        <w:pStyle w:val="NoSpacing"/>
        <w:rPr>
          <w:rFonts w:asciiTheme="majorHAnsi" w:hAnsiTheme="majorHAnsi" w:cstheme="majorHAnsi"/>
          <w:sz w:val="16"/>
          <w:szCs w:val="16"/>
        </w:rPr>
      </w:pPr>
      <w:r w:rsidRPr="00587034">
        <w:rPr>
          <w:rStyle w:val="FootnoteReference"/>
          <w:rFonts w:asciiTheme="majorHAnsi" w:hAnsiTheme="majorHAnsi" w:cstheme="majorHAnsi"/>
          <w:sz w:val="16"/>
          <w:szCs w:val="16"/>
        </w:rPr>
        <w:footnoteRef/>
      </w:r>
      <w:r w:rsidRPr="00587034">
        <w:rPr>
          <w:rFonts w:asciiTheme="majorHAnsi" w:hAnsiTheme="majorHAnsi" w:cstheme="majorHAnsi"/>
          <w:sz w:val="16"/>
          <w:szCs w:val="16"/>
        </w:rPr>
        <w:t xml:space="preserve"> UNESCO GEMR (2011) ‘Education Counts, Toward the Millennium Development Goals’. p.6</w:t>
      </w:r>
      <w:r w:rsidRPr="00587034">
        <w:rPr>
          <w:rFonts w:asciiTheme="majorHAnsi" w:hAnsiTheme="majorHAnsi" w:cstheme="majorHAnsi"/>
          <w:sz w:val="16"/>
          <w:szCs w:val="16"/>
          <w:shd w:val="clear" w:color="auto" w:fill="ECECEC"/>
        </w:rPr>
        <w:t xml:space="preserve"> </w:t>
      </w:r>
      <w:r w:rsidRPr="00587034">
        <w:rPr>
          <w:rFonts w:asciiTheme="majorHAnsi" w:hAnsiTheme="majorHAnsi" w:cstheme="majorHAnsi"/>
          <w:sz w:val="16"/>
          <w:szCs w:val="16"/>
        </w:rPr>
        <w:t xml:space="preserve"> </w:t>
      </w:r>
    </w:p>
  </w:footnote>
  <w:footnote w:id="5">
    <w:p w14:paraId="67BF2D16" w14:textId="77777777" w:rsidR="00DA6202" w:rsidRPr="00587034" w:rsidRDefault="00DA6202" w:rsidP="00DA6202">
      <w:pPr>
        <w:pStyle w:val="NoSpacing"/>
        <w:rPr>
          <w:rFonts w:asciiTheme="majorHAnsi" w:hAnsiTheme="majorHAnsi" w:cstheme="majorHAnsi"/>
          <w:sz w:val="16"/>
          <w:szCs w:val="16"/>
        </w:rPr>
      </w:pPr>
      <w:r w:rsidRPr="00587034">
        <w:rPr>
          <w:rStyle w:val="FootnoteReference"/>
          <w:rFonts w:asciiTheme="majorHAnsi" w:hAnsiTheme="majorHAnsi" w:cstheme="majorHAnsi"/>
          <w:sz w:val="16"/>
          <w:szCs w:val="16"/>
        </w:rPr>
        <w:footnoteRef/>
      </w:r>
      <w:r w:rsidRPr="00587034">
        <w:rPr>
          <w:rFonts w:asciiTheme="majorHAnsi" w:hAnsiTheme="majorHAnsi" w:cstheme="majorHAnsi"/>
          <w:sz w:val="16"/>
          <w:szCs w:val="16"/>
        </w:rPr>
        <w:t xml:space="preserve"> Education Commission (2016), ‘The Learning Generation: Investing in education for a changing world’. p,4</w:t>
      </w:r>
    </w:p>
  </w:footnote>
  <w:footnote w:id="6">
    <w:p w14:paraId="2C319B01" w14:textId="77777777" w:rsidR="00DA6202" w:rsidRPr="00587034" w:rsidRDefault="00DA6202" w:rsidP="00DA6202">
      <w:pPr>
        <w:pStyle w:val="NoSpacing"/>
        <w:rPr>
          <w:rFonts w:asciiTheme="majorHAnsi" w:hAnsiTheme="majorHAnsi" w:cstheme="majorHAnsi"/>
          <w:sz w:val="16"/>
          <w:szCs w:val="16"/>
        </w:rPr>
      </w:pPr>
      <w:r w:rsidRPr="00587034">
        <w:rPr>
          <w:rStyle w:val="FootnoteReference"/>
          <w:rFonts w:asciiTheme="majorHAnsi" w:hAnsiTheme="majorHAnsi" w:cstheme="majorHAnsi"/>
          <w:sz w:val="16"/>
          <w:szCs w:val="16"/>
        </w:rPr>
        <w:footnoteRef/>
      </w:r>
      <w:r w:rsidRPr="00587034">
        <w:rPr>
          <w:rFonts w:asciiTheme="majorHAnsi" w:hAnsiTheme="majorHAnsi" w:cstheme="majorHAnsi"/>
          <w:sz w:val="16"/>
          <w:szCs w:val="16"/>
        </w:rPr>
        <w:t xml:space="preserve"> Ibid, p.34 </w:t>
      </w:r>
    </w:p>
  </w:footnote>
  <w:footnote w:id="7">
    <w:p w14:paraId="0614526E" w14:textId="77777777" w:rsidR="00DA6202" w:rsidRPr="00587034" w:rsidRDefault="00DA6202" w:rsidP="00DA6202">
      <w:pPr>
        <w:pStyle w:val="NoSpacing"/>
        <w:rPr>
          <w:rFonts w:asciiTheme="majorHAnsi" w:hAnsiTheme="majorHAnsi" w:cstheme="majorHAnsi"/>
          <w:sz w:val="16"/>
          <w:szCs w:val="16"/>
        </w:rPr>
      </w:pPr>
      <w:r w:rsidRPr="00587034">
        <w:rPr>
          <w:rStyle w:val="FootnoteReference"/>
          <w:rFonts w:asciiTheme="majorHAnsi" w:hAnsiTheme="majorHAnsi" w:cstheme="majorHAnsi"/>
          <w:sz w:val="16"/>
          <w:szCs w:val="16"/>
        </w:rPr>
        <w:footnoteRef/>
      </w:r>
      <w:r w:rsidRPr="00587034">
        <w:rPr>
          <w:rFonts w:asciiTheme="majorHAnsi" w:hAnsiTheme="majorHAnsi" w:cstheme="majorHAnsi"/>
          <w:sz w:val="16"/>
          <w:szCs w:val="16"/>
        </w:rPr>
        <w:t xml:space="preserve"> </w:t>
      </w:r>
      <w:r w:rsidRPr="00587034">
        <w:rPr>
          <w:rFonts w:asciiTheme="majorHAnsi" w:hAnsiTheme="majorHAnsi" w:cstheme="majorHAnsi"/>
          <w:sz w:val="16"/>
          <w:szCs w:val="16"/>
          <w:shd w:val="clear" w:color="auto" w:fill="FFFFFF"/>
        </w:rPr>
        <w:t>Plan International 2011. ‘Paying the price: The economic cost of failing to educate girls’. p.10</w:t>
      </w:r>
    </w:p>
  </w:footnote>
  <w:footnote w:id="8">
    <w:p w14:paraId="54AAEA00" w14:textId="77777777" w:rsidR="00DA6202" w:rsidRPr="00587034" w:rsidRDefault="00DA6202" w:rsidP="00DA6202">
      <w:pPr>
        <w:pStyle w:val="NoSpacing"/>
        <w:rPr>
          <w:rFonts w:asciiTheme="majorHAnsi" w:hAnsiTheme="majorHAnsi" w:cstheme="majorHAnsi"/>
          <w:sz w:val="16"/>
          <w:szCs w:val="16"/>
        </w:rPr>
      </w:pPr>
      <w:r w:rsidRPr="00587034">
        <w:rPr>
          <w:rStyle w:val="FootnoteReference"/>
          <w:rFonts w:asciiTheme="majorHAnsi" w:hAnsiTheme="majorHAnsi" w:cstheme="majorHAnsi"/>
          <w:sz w:val="16"/>
          <w:szCs w:val="16"/>
        </w:rPr>
        <w:footnoteRef/>
      </w:r>
      <w:r w:rsidRPr="00587034">
        <w:rPr>
          <w:rFonts w:asciiTheme="majorHAnsi" w:hAnsiTheme="majorHAnsi" w:cstheme="majorHAnsi"/>
          <w:sz w:val="16"/>
          <w:szCs w:val="16"/>
        </w:rPr>
        <w:t xml:space="preserve"> Education Commission (2016), ‘The Learning Generation: Investing in education for a changing world’. p.99</w:t>
      </w:r>
    </w:p>
  </w:footnote>
  <w:footnote w:id="9">
    <w:p w14:paraId="3BDFEA00" w14:textId="77777777" w:rsidR="00DA6202" w:rsidRPr="00587034" w:rsidRDefault="00DA6202" w:rsidP="00DA6202">
      <w:pPr>
        <w:pStyle w:val="NoSpacing"/>
        <w:rPr>
          <w:rFonts w:asciiTheme="majorHAnsi" w:hAnsiTheme="majorHAnsi" w:cstheme="majorHAnsi"/>
          <w:sz w:val="16"/>
          <w:szCs w:val="16"/>
        </w:rPr>
      </w:pPr>
      <w:r w:rsidRPr="00587034">
        <w:rPr>
          <w:rStyle w:val="FootnoteReference"/>
          <w:rFonts w:asciiTheme="majorHAnsi" w:hAnsiTheme="majorHAnsi" w:cstheme="majorHAnsi"/>
          <w:sz w:val="16"/>
          <w:szCs w:val="16"/>
        </w:rPr>
        <w:footnoteRef/>
      </w:r>
      <w:r w:rsidRPr="00587034">
        <w:rPr>
          <w:rFonts w:asciiTheme="majorHAnsi" w:hAnsiTheme="majorHAnsi" w:cstheme="majorHAnsi"/>
          <w:sz w:val="16"/>
          <w:szCs w:val="16"/>
        </w:rPr>
        <w:t xml:space="preserve"> UNESCO GEMR (2013). ‘Education Transforms Lives’. P.7</w:t>
      </w:r>
    </w:p>
  </w:footnote>
  <w:footnote w:id="10">
    <w:p w14:paraId="1820E056" w14:textId="77777777" w:rsidR="00DA6202" w:rsidRPr="00587034" w:rsidRDefault="00DA6202" w:rsidP="00DA6202">
      <w:pPr>
        <w:pStyle w:val="NoSpacing"/>
        <w:rPr>
          <w:rFonts w:asciiTheme="majorHAnsi" w:hAnsiTheme="majorHAnsi" w:cstheme="majorHAnsi"/>
          <w:sz w:val="16"/>
          <w:szCs w:val="16"/>
        </w:rPr>
      </w:pPr>
      <w:r w:rsidRPr="00587034">
        <w:rPr>
          <w:rStyle w:val="FootnoteReference"/>
          <w:rFonts w:asciiTheme="majorHAnsi" w:hAnsiTheme="majorHAnsi" w:cstheme="majorHAnsi"/>
          <w:sz w:val="16"/>
          <w:szCs w:val="16"/>
        </w:rPr>
        <w:footnoteRef/>
      </w:r>
      <w:r w:rsidRPr="00587034">
        <w:rPr>
          <w:rFonts w:asciiTheme="majorHAnsi" w:hAnsiTheme="majorHAnsi" w:cstheme="majorHAnsi"/>
          <w:sz w:val="16"/>
          <w:szCs w:val="16"/>
        </w:rPr>
        <w:t xml:space="preserve"> Education Commission (2016), ‘The Learning Generation: Investing in education for a changing world’. </w:t>
      </w:r>
    </w:p>
  </w:footnote>
  <w:footnote w:id="11">
    <w:p w14:paraId="404B1105" w14:textId="77777777" w:rsidR="00DA6202" w:rsidRPr="00587034" w:rsidRDefault="00DA6202" w:rsidP="00DA6202">
      <w:pPr>
        <w:pStyle w:val="NoSpacing"/>
        <w:rPr>
          <w:rFonts w:asciiTheme="majorHAnsi" w:hAnsiTheme="majorHAnsi" w:cstheme="majorHAnsi"/>
          <w:sz w:val="16"/>
          <w:szCs w:val="16"/>
        </w:rPr>
      </w:pPr>
      <w:r w:rsidRPr="00587034">
        <w:rPr>
          <w:rStyle w:val="FootnoteReference"/>
          <w:rFonts w:asciiTheme="majorHAnsi" w:hAnsiTheme="majorHAnsi" w:cstheme="majorHAnsi"/>
          <w:sz w:val="16"/>
          <w:szCs w:val="16"/>
        </w:rPr>
        <w:footnoteRef/>
      </w:r>
      <w:r w:rsidRPr="00587034">
        <w:rPr>
          <w:rFonts w:asciiTheme="majorHAnsi" w:hAnsiTheme="majorHAnsi" w:cstheme="majorHAnsi"/>
          <w:sz w:val="16"/>
          <w:szCs w:val="16"/>
        </w:rPr>
        <w:t xml:space="preserve"> </w:t>
      </w:r>
      <w:r w:rsidRPr="00587034">
        <w:rPr>
          <w:rFonts w:asciiTheme="majorHAnsi" w:hAnsiTheme="majorHAnsi" w:cstheme="majorHAnsi"/>
          <w:color w:val="666666"/>
          <w:sz w:val="16"/>
          <w:szCs w:val="16"/>
          <w:shd w:val="clear" w:color="auto" w:fill="FFFFFF"/>
        </w:rPr>
        <w:t> </w:t>
      </w:r>
      <w:r w:rsidRPr="00587034">
        <w:rPr>
          <w:rFonts w:asciiTheme="majorHAnsi" w:hAnsiTheme="majorHAnsi" w:cstheme="majorHAnsi"/>
          <w:sz w:val="16"/>
          <w:szCs w:val="16"/>
        </w:rPr>
        <w:t xml:space="preserve"> UNESCO GEMR (2016b)</w:t>
      </w:r>
      <w:r w:rsidRPr="00587034">
        <w:rPr>
          <w:rFonts w:asciiTheme="majorHAnsi" w:hAnsiTheme="majorHAnsi" w:cstheme="majorHAnsi"/>
          <w:sz w:val="16"/>
          <w:szCs w:val="16"/>
          <w:shd w:val="clear" w:color="auto" w:fill="FFFFFF"/>
        </w:rPr>
        <w:t>. ‘Education for people and planet: Creating sustainable futures for all’. p.33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5A0E"/>
    <w:multiLevelType w:val="hybridMultilevel"/>
    <w:tmpl w:val="293897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9476A6"/>
    <w:multiLevelType w:val="hybridMultilevel"/>
    <w:tmpl w:val="11E27B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B84039"/>
    <w:multiLevelType w:val="hybridMultilevel"/>
    <w:tmpl w:val="31B2D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FA551D"/>
    <w:multiLevelType w:val="multilevel"/>
    <w:tmpl w:val="E892C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BB0AD5"/>
    <w:multiLevelType w:val="hybridMultilevel"/>
    <w:tmpl w:val="5B24F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574B6C"/>
    <w:multiLevelType w:val="multilevel"/>
    <w:tmpl w:val="697A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BF3EA5"/>
    <w:multiLevelType w:val="hybridMultilevel"/>
    <w:tmpl w:val="AE8848E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0D178CE"/>
    <w:multiLevelType w:val="hybridMultilevel"/>
    <w:tmpl w:val="7AF0B8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63555D6"/>
    <w:multiLevelType w:val="hybridMultilevel"/>
    <w:tmpl w:val="54186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4C2A42"/>
    <w:multiLevelType w:val="multilevel"/>
    <w:tmpl w:val="A92E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E01122"/>
    <w:multiLevelType w:val="hybridMultilevel"/>
    <w:tmpl w:val="0FB4E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78220B"/>
    <w:multiLevelType w:val="hybridMultilevel"/>
    <w:tmpl w:val="63681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783019"/>
    <w:multiLevelType w:val="hybridMultilevel"/>
    <w:tmpl w:val="E88AB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542AD8"/>
    <w:multiLevelType w:val="hybridMultilevel"/>
    <w:tmpl w:val="C7FA6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A251E3"/>
    <w:multiLevelType w:val="multilevel"/>
    <w:tmpl w:val="8DE879C4"/>
    <w:lvl w:ilvl="0">
      <w:start w:val="1"/>
      <w:numFmt w:val="decimal"/>
      <w:lvlText w:val="%1."/>
      <w:lvlJc w:val="left"/>
      <w:pPr>
        <w:ind w:left="360" w:hanging="360"/>
      </w:p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5" w15:restartNumberingAfterBreak="0">
    <w:nsid w:val="48C74532"/>
    <w:multiLevelType w:val="hybridMultilevel"/>
    <w:tmpl w:val="900EE8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B95620C"/>
    <w:multiLevelType w:val="hybridMultilevel"/>
    <w:tmpl w:val="784A416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EE337A"/>
    <w:multiLevelType w:val="hybridMultilevel"/>
    <w:tmpl w:val="236A1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BE30F1"/>
    <w:multiLevelType w:val="multilevel"/>
    <w:tmpl w:val="73F01D2A"/>
    <w:lvl w:ilvl="0">
      <w:start w:val="3"/>
      <w:numFmt w:val="decimal"/>
      <w:lvlText w:val="%1"/>
      <w:lvlJc w:val="left"/>
      <w:pPr>
        <w:ind w:left="360" w:hanging="360"/>
      </w:pPr>
      <w:rPr>
        <w:rFonts w:hint="default"/>
        <w:color w:val="auto"/>
        <w:sz w:val="22"/>
      </w:rPr>
    </w:lvl>
    <w:lvl w:ilvl="1">
      <w:start w:val="1"/>
      <w:numFmt w:val="decimal"/>
      <w:lvlText w:val="%1.%2"/>
      <w:lvlJc w:val="left"/>
      <w:pPr>
        <w:ind w:left="360" w:hanging="360"/>
      </w:pPr>
      <w:rPr>
        <w:rFonts w:hint="default"/>
        <w:color w:val="auto"/>
        <w:sz w:val="22"/>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720" w:hanging="72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080" w:hanging="1080"/>
      </w:pPr>
      <w:rPr>
        <w:rFonts w:hint="default"/>
        <w:color w:val="auto"/>
        <w:sz w:val="22"/>
      </w:rPr>
    </w:lvl>
    <w:lvl w:ilvl="6">
      <w:start w:val="1"/>
      <w:numFmt w:val="decimal"/>
      <w:lvlText w:val="%1.%2.%3.%4.%5.%6.%7"/>
      <w:lvlJc w:val="left"/>
      <w:pPr>
        <w:ind w:left="1440" w:hanging="1440"/>
      </w:pPr>
      <w:rPr>
        <w:rFonts w:hint="default"/>
        <w:color w:val="auto"/>
        <w:sz w:val="22"/>
      </w:rPr>
    </w:lvl>
    <w:lvl w:ilvl="7">
      <w:start w:val="1"/>
      <w:numFmt w:val="decimal"/>
      <w:lvlText w:val="%1.%2.%3.%4.%5.%6.%7.%8"/>
      <w:lvlJc w:val="left"/>
      <w:pPr>
        <w:ind w:left="1440" w:hanging="1440"/>
      </w:pPr>
      <w:rPr>
        <w:rFonts w:hint="default"/>
        <w:color w:val="auto"/>
        <w:sz w:val="22"/>
      </w:rPr>
    </w:lvl>
    <w:lvl w:ilvl="8">
      <w:start w:val="1"/>
      <w:numFmt w:val="decimal"/>
      <w:lvlText w:val="%1.%2.%3.%4.%5.%6.%7.%8.%9"/>
      <w:lvlJc w:val="left"/>
      <w:pPr>
        <w:ind w:left="1800" w:hanging="1800"/>
      </w:pPr>
      <w:rPr>
        <w:rFonts w:hint="default"/>
        <w:color w:val="auto"/>
        <w:sz w:val="22"/>
      </w:rPr>
    </w:lvl>
  </w:abstractNum>
  <w:abstractNum w:abstractNumId="19" w15:restartNumberingAfterBreak="0">
    <w:nsid w:val="66A80C02"/>
    <w:multiLevelType w:val="multilevel"/>
    <w:tmpl w:val="A6885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2A4FED"/>
    <w:multiLevelType w:val="hybridMultilevel"/>
    <w:tmpl w:val="12163A4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E19091F"/>
    <w:multiLevelType w:val="multilevel"/>
    <w:tmpl w:val="1026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4411E6"/>
    <w:multiLevelType w:val="hybridMultilevel"/>
    <w:tmpl w:val="A39AC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90C26C4"/>
    <w:multiLevelType w:val="multilevel"/>
    <w:tmpl w:val="E638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752901"/>
    <w:multiLevelType w:val="multilevel"/>
    <w:tmpl w:val="6982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7948D2"/>
    <w:multiLevelType w:val="hybridMultilevel"/>
    <w:tmpl w:val="CFFCA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F4A1284"/>
    <w:multiLevelType w:val="multilevel"/>
    <w:tmpl w:val="01BCE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4"/>
  </w:num>
  <w:num w:numId="5">
    <w:abstractNumId w:val="12"/>
  </w:num>
  <w:num w:numId="6">
    <w:abstractNumId w:val="4"/>
  </w:num>
  <w:num w:numId="7">
    <w:abstractNumId w:val="18"/>
  </w:num>
  <w:num w:numId="8">
    <w:abstractNumId w:val="15"/>
  </w:num>
  <w:num w:numId="9">
    <w:abstractNumId w:val="2"/>
  </w:num>
  <w:num w:numId="10">
    <w:abstractNumId w:val="22"/>
  </w:num>
  <w:num w:numId="11">
    <w:abstractNumId w:val="8"/>
  </w:num>
  <w:num w:numId="12">
    <w:abstractNumId w:val="16"/>
  </w:num>
  <w:num w:numId="13">
    <w:abstractNumId w:val="7"/>
  </w:num>
  <w:num w:numId="14">
    <w:abstractNumId w:val="6"/>
  </w:num>
  <w:num w:numId="15">
    <w:abstractNumId w:val="21"/>
  </w:num>
  <w:num w:numId="16">
    <w:abstractNumId w:val="9"/>
  </w:num>
  <w:num w:numId="17">
    <w:abstractNumId w:val="26"/>
  </w:num>
  <w:num w:numId="18">
    <w:abstractNumId w:val="5"/>
  </w:num>
  <w:num w:numId="19">
    <w:abstractNumId w:val="10"/>
  </w:num>
  <w:num w:numId="20">
    <w:abstractNumId w:val="25"/>
  </w:num>
  <w:num w:numId="21">
    <w:abstractNumId w:val="17"/>
  </w:num>
  <w:num w:numId="22">
    <w:abstractNumId w:val="13"/>
  </w:num>
  <w:num w:numId="23">
    <w:abstractNumId w:val="11"/>
  </w:num>
  <w:num w:numId="24">
    <w:abstractNumId w:val="20"/>
  </w:num>
  <w:num w:numId="25">
    <w:abstractNumId w:val="1"/>
  </w:num>
  <w:num w:numId="26">
    <w:abstractNumId w:val="23"/>
  </w:num>
  <w:num w:numId="27">
    <w:abstractNumId w:val="2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DB2"/>
    <w:rsid w:val="000016A1"/>
    <w:rsid w:val="00005885"/>
    <w:rsid w:val="000265D8"/>
    <w:rsid w:val="0003114B"/>
    <w:rsid w:val="00033F76"/>
    <w:rsid w:val="00046A5B"/>
    <w:rsid w:val="00046E83"/>
    <w:rsid w:val="000727B3"/>
    <w:rsid w:val="00085978"/>
    <w:rsid w:val="00087D3C"/>
    <w:rsid w:val="00093F9B"/>
    <w:rsid w:val="000A7CEE"/>
    <w:rsid w:val="000B6BB9"/>
    <w:rsid w:val="000D2772"/>
    <w:rsid w:val="000D32AC"/>
    <w:rsid w:val="000D58FC"/>
    <w:rsid w:val="000D6C20"/>
    <w:rsid w:val="000D7837"/>
    <w:rsid w:val="000E742C"/>
    <w:rsid w:val="001254F6"/>
    <w:rsid w:val="00166908"/>
    <w:rsid w:val="00173B81"/>
    <w:rsid w:val="0017493A"/>
    <w:rsid w:val="001846B9"/>
    <w:rsid w:val="001A2702"/>
    <w:rsid w:val="001A7CFA"/>
    <w:rsid w:val="001E5508"/>
    <w:rsid w:val="001F3D48"/>
    <w:rsid w:val="00201AA3"/>
    <w:rsid w:val="00207FCF"/>
    <w:rsid w:val="002323E3"/>
    <w:rsid w:val="00243088"/>
    <w:rsid w:val="0025179A"/>
    <w:rsid w:val="00254844"/>
    <w:rsid w:val="00261E49"/>
    <w:rsid w:val="002C3741"/>
    <w:rsid w:val="002C51DB"/>
    <w:rsid w:val="002C5F68"/>
    <w:rsid w:val="002D3F7C"/>
    <w:rsid w:val="002E1F01"/>
    <w:rsid w:val="002E65C5"/>
    <w:rsid w:val="002F6A0B"/>
    <w:rsid w:val="00303AFC"/>
    <w:rsid w:val="00306A4E"/>
    <w:rsid w:val="00335BB9"/>
    <w:rsid w:val="00355CD0"/>
    <w:rsid w:val="00361A55"/>
    <w:rsid w:val="00367447"/>
    <w:rsid w:val="0038652B"/>
    <w:rsid w:val="00393119"/>
    <w:rsid w:val="00394BFC"/>
    <w:rsid w:val="003A659D"/>
    <w:rsid w:val="003C79E4"/>
    <w:rsid w:val="0041266F"/>
    <w:rsid w:val="00412950"/>
    <w:rsid w:val="004369FC"/>
    <w:rsid w:val="00440B3B"/>
    <w:rsid w:val="00446D4B"/>
    <w:rsid w:val="0046254D"/>
    <w:rsid w:val="004711FA"/>
    <w:rsid w:val="00486C4A"/>
    <w:rsid w:val="00491ABA"/>
    <w:rsid w:val="00494AAB"/>
    <w:rsid w:val="004A1958"/>
    <w:rsid w:val="004C14B0"/>
    <w:rsid w:val="004E514A"/>
    <w:rsid w:val="004F3999"/>
    <w:rsid w:val="004F54F6"/>
    <w:rsid w:val="00500568"/>
    <w:rsid w:val="0050436F"/>
    <w:rsid w:val="00506195"/>
    <w:rsid w:val="00525C8C"/>
    <w:rsid w:val="00587034"/>
    <w:rsid w:val="00587F51"/>
    <w:rsid w:val="00597A07"/>
    <w:rsid w:val="005A48CD"/>
    <w:rsid w:val="005E11A8"/>
    <w:rsid w:val="005E5967"/>
    <w:rsid w:val="005F2632"/>
    <w:rsid w:val="005F63DB"/>
    <w:rsid w:val="006035AB"/>
    <w:rsid w:val="00604D20"/>
    <w:rsid w:val="00614671"/>
    <w:rsid w:val="00643371"/>
    <w:rsid w:val="006515C1"/>
    <w:rsid w:val="0068189F"/>
    <w:rsid w:val="006C74F1"/>
    <w:rsid w:val="006D66AB"/>
    <w:rsid w:val="00712521"/>
    <w:rsid w:val="007820E6"/>
    <w:rsid w:val="0079078B"/>
    <w:rsid w:val="007A61FA"/>
    <w:rsid w:val="007D25FC"/>
    <w:rsid w:val="007E08F1"/>
    <w:rsid w:val="007E3DC7"/>
    <w:rsid w:val="007E6E3A"/>
    <w:rsid w:val="00816D7A"/>
    <w:rsid w:val="0081707C"/>
    <w:rsid w:val="00831BE5"/>
    <w:rsid w:val="008440B3"/>
    <w:rsid w:val="008525EF"/>
    <w:rsid w:val="008613E3"/>
    <w:rsid w:val="00867DE1"/>
    <w:rsid w:val="00873EC4"/>
    <w:rsid w:val="00890DD9"/>
    <w:rsid w:val="008B7274"/>
    <w:rsid w:val="00903878"/>
    <w:rsid w:val="00926481"/>
    <w:rsid w:val="009267C6"/>
    <w:rsid w:val="00966D78"/>
    <w:rsid w:val="00982073"/>
    <w:rsid w:val="009846CB"/>
    <w:rsid w:val="00995395"/>
    <w:rsid w:val="0099713B"/>
    <w:rsid w:val="009A048D"/>
    <w:rsid w:val="009A7923"/>
    <w:rsid w:val="009B2D2B"/>
    <w:rsid w:val="009E059B"/>
    <w:rsid w:val="009E148C"/>
    <w:rsid w:val="009E3A66"/>
    <w:rsid w:val="009F1544"/>
    <w:rsid w:val="00A3253E"/>
    <w:rsid w:val="00A903E7"/>
    <w:rsid w:val="00A965DA"/>
    <w:rsid w:val="00AB4474"/>
    <w:rsid w:val="00AB5800"/>
    <w:rsid w:val="00AC3AA5"/>
    <w:rsid w:val="00AF53F5"/>
    <w:rsid w:val="00B22581"/>
    <w:rsid w:val="00B24CEE"/>
    <w:rsid w:val="00B302B4"/>
    <w:rsid w:val="00B726B4"/>
    <w:rsid w:val="00B85534"/>
    <w:rsid w:val="00BA72E9"/>
    <w:rsid w:val="00BB1467"/>
    <w:rsid w:val="00BB4930"/>
    <w:rsid w:val="00BB4E33"/>
    <w:rsid w:val="00BC34D7"/>
    <w:rsid w:val="00BE0398"/>
    <w:rsid w:val="00BE4CBB"/>
    <w:rsid w:val="00BF6878"/>
    <w:rsid w:val="00C17663"/>
    <w:rsid w:val="00C3582E"/>
    <w:rsid w:val="00C42156"/>
    <w:rsid w:val="00C57DB2"/>
    <w:rsid w:val="00C60ED9"/>
    <w:rsid w:val="00C71834"/>
    <w:rsid w:val="00C75AD7"/>
    <w:rsid w:val="00CC3E4F"/>
    <w:rsid w:val="00CC4304"/>
    <w:rsid w:val="00CD2021"/>
    <w:rsid w:val="00CD4B4F"/>
    <w:rsid w:val="00D15E21"/>
    <w:rsid w:val="00D32229"/>
    <w:rsid w:val="00D402CA"/>
    <w:rsid w:val="00D4678D"/>
    <w:rsid w:val="00D50B36"/>
    <w:rsid w:val="00D52C30"/>
    <w:rsid w:val="00D66362"/>
    <w:rsid w:val="00D7472C"/>
    <w:rsid w:val="00D96366"/>
    <w:rsid w:val="00DA494D"/>
    <w:rsid w:val="00DA6202"/>
    <w:rsid w:val="00DE11D1"/>
    <w:rsid w:val="00DF5772"/>
    <w:rsid w:val="00E0049A"/>
    <w:rsid w:val="00E03552"/>
    <w:rsid w:val="00E42D3B"/>
    <w:rsid w:val="00E431C9"/>
    <w:rsid w:val="00E769B1"/>
    <w:rsid w:val="00E83B2B"/>
    <w:rsid w:val="00E85950"/>
    <w:rsid w:val="00E863C4"/>
    <w:rsid w:val="00EF4163"/>
    <w:rsid w:val="00EF79E4"/>
    <w:rsid w:val="00F207E3"/>
    <w:rsid w:val="00F248FE"/>
    <w:rsid w:val="00F3550D"/>
    <w:rsid w:val="00F43075"/>
    <w:rsid w:val="00F908CF"/>
    <w:rsid w:val="00F94824"/>
    <w:rsid w:val="00FB7D11"/>
    <w:rsid w:val="00FC7F22"/>
    <w:rsid w:val="00FD59F0"/>
    <w:rsid w:val="00FD70E2"/>
    <w:rsid w:val="00FE53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54A86"/>
  <w15:chartTrackingRefBased/>
  <w15:docId w15:val="{5F76133D-6805-449E-9EA2-F3050E47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DB2"/>
  </w:style>
  <w:style w:type="paragraph" w:styleId="Heading1">
    <w:name w:val="heading 1"/>
    <w:basedOn w:val="Normal"/>
    <w:next w:val="Normal"/>
    <w:link w:val="Heading1Char"/>
    <w:uiPriority w:val="9"/>
    <w:qFormat/>
    <w:rsid w:val="00B225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04D2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D7A"/>
    <w:pPr>
      <w:spacing w:after="0" w:line="240" w:lineRule="auto"/>
    </w:pPr>
    <w:rPr>
      <w:rFonts w:ascii="Calibri" w:eastAsia="Calibri" w:hAnsi="Calibri" w:cs="Arial"/>
    </w:rPr>
  </w:style>
  <w:style w:type="character" w:styleId="Hyperlink">
    <w:name w:val="Hyperlink"/>
    <w:basedOn w:val="DefaultParagraphFont"/>
    <w:uiPriority w:val="99"/>
    <w:unhideWhenUsed/>
    <w:rsid w:val="00816D7A"/>
    <w:rPr>
      <w:color w:val="0000FF"/>
      <w:u w:val="single"/>
    </w:rPr>
  </w:style>
  <w:style w:type="character" w:styleId="FootnoteReference">
    <w:name w:val="footnote reference"/>
    <w:basedOn w:val="DefaultParagraphFont"/>
    <w:uiPriority w:val="99"/>
    <w:unhideWhenUsed/>
    <w:rsid w:val="00816D7A"/>
    <w:rPr>
      <w:vertAlign w:val="superscript"/>
    </w:rPr>
  </w:style>
  <w:style w:type="paragraph" w:styleId="NormalWeb">
    <w:name w:val="Normal (Web)"/>
    <w:basedOn w:val="Normal"/>
    <w:uiPriority w:val="99"/>
    <w:unhideWhenUsed/>
    <w:rsid w:val="00243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D96366"/>
    <w:pPr>
      <w:spacing w:after="0" w:line="240" w:lineRule="auto"/>
    </w:pPr>
    <w:rPr>
      <w:rFonts w:ascii="Calibri" w:eastAsia="Calibri" w:hAnsi="Calibri" w:cs="Times New Roman"/>
      <w:sz w:val="24"/>
      <w:szCs w:val="24"/>
      <w:lang w:val="en-US"/>
    </w:rPr>
  </w:style>
  <w:style w:type="character" w:customStyle="1" w:styleId="FootnoteTextChar">
    <w:name w:val="Footnote Text Char"/>
    <w:basedOn w:val="DefaultParagraphFont"/>
    <w:link w:val="FootnoteText"/>
    <w:uiPriority w:val="99"/>
    <w:rsid w:val="00D96366"/>
    <w:rPr>
      <w:rFonts w:ascii="Calibri" w:eastAsia="Calibri" w:hAnsi="Calibri" w:cs="Times New Roman"/>
      <w:sz w:val="24"/>
      <w:szCs w:val="24"/>
      <w:lang w:val="en-US"/>
    </w:rPr>
  </w:style>
  <w:style w:type="character" w:styleId="Strong">
    <w:name w:val="Strong"/>
    <w:basedOn w:val="DefaultParagraphFont"/>
    <w:uiPriority w:val="22"/>
    <w:qFormat/>
    <w:rsid w:val="00F94824"/>
    <w:rPr>
      <w:b/>
      <w:bCs/>
    </w:rPr>
  </w:style>
  <w:style w:type="paragraph" w:styleId="BalloonText">
    <w:name w:val="Balloon Text"/>
    <w:basedOn w:val="Normal"/>
    <w:link w:val="BalloonTextChar"/>
    <w:uiPriority w:val="99"/>
    <w:semiHidden/>
    <w:unhideWhenUsed/>
    <w:rsid w:val="00903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878"/>
    <w:rPr>
      <w:rFonts w:ascii="Segoe UI" w:hAnsi="Segoe UI" w:cs="Segoe UI"/>
      <w:sz w:val="18"/>
      <w:szCs w:val="18"/>
    </w:rPr>
  </w:style>
  <w:style w:type="paragraph" w:styleId="CommentText">
    <w:name w:val="annotation text"/>
    <w:basedOn w:val="Normal"/>
    <w:link w:val="CommentTextChar"/>
    <w:uiPriority w:val="99"/>
    <w:unhideWhenUsed/>
    <w:rsid w:val="00085978"/>
    <w:pPr>
      <w:spacing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085978"/>
    <w:rPr>
      <w:rFonts w:ascii="Calibri" w:eastAsia="Calibri" w:hAnsi="Calibri" w:cs="Arial"/>
      <w:sz w:val="20"/>
      <w:szCs w:val="20"/>
    </w:rPr>
  </w:style>
  <w:style w:type="character" w:styleId="CommentReference">
    <w:name w:val="annotation reference"/>
    <w:uiPriority w:val="99"/>
    <w:semiHidden/>
    <w:unhideWhenUsed/>
    <w:rsid w:val="00085978"/>
    <w:rPr>
      <w:sz w:val="16"/>
      <w:szCs w:val="16"/>
    </w:rPr>
  </w:style>
  <w:style w:type="paragraph" w:styleId="ListParagraph">
    <w:name w:val="List Paragraph"/>
    <w:aliases w:val="List Paragraph1,List Bullet-OpsManual,Numbered paragraph,List Paragraph2,Medium Grid 1 - Accent 21,List Paragraph-ExecSummary,Indent Paragraph,Citation List,Resume Title,List Paragraph_Table bullets,Ha,List Paragraph (numbered (a))"/>
    <w:basedOn w:val="Normal"/>
    <w:link w:val="ListParagraphChar"/>
    <w:uiPriority w:val="34"/>
    <w:qFormat/>
    <w:rsid w:val="009E148C"/>
    <w:pPr>
      <w:ind w:left="720"/>
      <w:contextualSpacing/>
    </w:pPr>
    <w:rPr>
      <w:rFonts w:ascii="Calibri" w:eastAsia="Calibri" w:hAnsi="Calibri" w:cs="Times New Roman"/>
      <w:sz w:val="20"/>
      <w:szCs w:val="20"/>
      <w:lang w:val="x-none" w:eastAsia="x-none"/>
    </w:rPr>
  </w:style>
  <w:style w:type="character" w:customStyle="1" w:styleId="ListParagraphChar">
    <w:name w:val="List Paragraph Char"/>
    <w:aliases w:val="List Paragraph1 Char,List Bullet-OpsManual Char,Numbered paragraph Char,List Paragraph2 Char,Medium Grid 1 - Accent 21 Char,List Paragraph-ExecSummary Char,Indent Paragraph Char,Citation List Char,Resume Title Char,Ha Char"/>
    <w:link w:val="ListParagraph"/>
    <w:uiPriority w:val="34"/>
    <w:qFormat/>
    <w:locked/>
    <w:rsid w:val="009E148C"/>
    <w:rPr>
      <w:rFonts w:ascii="Calibri" w:eastAsia="Calibri" w:hAnsi="Calibri" w:cs="Times New Roman"/>
      <w:sz w:val="20"/>
      <w:szCs w:val="20"/>
      <w:lang w:val="x-none" w:eastAsia="x-none"/>
    </w:rPr>
  </w:style>
  <w:style w:type="paragraph" w:customStyle="1" w:styleId="Default">
    <w:name w:val="Default"/>
    <w:rsid w:val="009E148C"/>
    <w:pPr>
      <w:autoSpaceDE w:val="0"/>
      <w:autoSpaceDN w:val="0"/>
      <w:adjustRightInd w:val="0"/>
      <w:spacing w:after="0" w:line="240" w:lineRule="auto"/>
    </w:pPr>
    <w:rPr>
      <w:rFonts w:ascii="Palatino Linotype" w:eastAsia="Calibri" w:hAnsi="Palatino Linotype" w:cs="Palatino Linotype"/>
      <w:color w:val="000000"/>
      <w:sz w:val="24"/>
      <w:szCs w:val="24"/>
    </w:rPr>
  </w:style>
  <w:style w:type="character" w:styleId="FollowedHyperlink">
    <w:name w:val="FollowedHyperlink"/>
    <w:basedOn w:val="DefaultParagraphFont"/>
    <w:uiPriority w:val="99"/>
    <w:semiHidden/>
    <w:unhideWhenUsed/>
    <w:rsid w:val="00303AFC"/>
    <w:rPr>
      <w:color w:val="954F72" w:themeColor="followedHyperlink"/>
      <w:u w:val="single"/>
    </w:rPr>
  </w:style>
  <w:style w:type="character" w:customStyle="1" w:styleId="Heading3Char">
    <w:name w:val="Heading 3 Char"/>
    <w:basedOn w:val="DefaultParagraphFont"/>
    <w:link w:val="Heading3"/>
    <w:uiPriority w:val="9"/>
    <w:rsid w:val="00604D20"/>
    <w:rPr>
      <w:rFonts w:ascii="Times New Roman" w:eastAsia="Times New Roman" w:hAnsi="Times New Roman" w:cs="Times New Roman"/>
      <w:b/>
      <w:bCs/>
      <w:sz w:val="27"/>
      <w:szCs w:val="27"/>
      <w:lang w:eastAsia="en-GB"/>
    </w:rPr>
  </w:style>
  <w:style w:type="character" w:styleId="UnresolvedMention">
    <w:name w:val="Unresolved Mention"/>
    <w:basedOn w:val="DefaultParagraphFont"/>
    <w:uiPriority w:val="99"/>
    <w:semiHidden/>
    <w:unhideWhenUsed/>
    <w:rsid w:val="00D7472C"/>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306A4E"/>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06A4E"/>
    <w:rPr>
      <w:rFonts w:ascii="Calibri" w:eastAsia="Calibri" w:hAnsi="Calibri" w:cs="Arial"/>
      <w:b/>
      <w:bCs/>
      <w:sz w:val="20"/>
      <w:szCs w:val="20"/>
    </w:rPr>
  </w:style>
  <w:style w:type="character" w:styleId="Emphasis">
    <w:name w:val="Emphasis"/>
    <w:basedOn w:val="DefaultParagraphFont"/>
    <w:uiPriority w:val="20"/>
    <w:qFormat/>
    <w:rsid w:val="008525EF"/>
    <w:rPr>
      <w:i/>
      <w:iCs/>
    </w:rPr>
  </w:style>
  <w:style w:type="table" w:styleId="TableGrid">
    <w:name w:val="Table Grid"/>
    <w:basedOn w:val="TableNormal"/>
    <w:uiPriority w:val="59"/>
    <w:rsid w:val="00E0049A"/>
    <w:pPr>
      <w:spacing w:after="0" w:line="240" w:lineRule="auto"/>
    </w:pPr>
    <w:rPr>
      <w:rFonts w:eastAsiaTheme="minorEastAsia"/>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source">
    <w:name w:val="data-source"/>
    <w:basedOn w:val="DefaultParagraphFont"/>
    <w:rsid w:val="00B22581"/>
  </w:style>
  <w:style w:type="character" w:customStyle="1" w:styleId="Heading1Char">
    <w:name w:val="Heading 1 Char"/>
    <w:basedOn w:val="DefaultParagraphFont"/>
    <w:link w:val="Heading1"/>
    <w:uiPriority w:val="9"/>
    <w:rsid w:val="00B22581"/>
    <w:rPr>
      <w:rFonts w:asciiTheme="majorHAnsi" w:eastAsiaTheme="majorEastAsia" w:hAnsiTheme="majorHAnsi" w:cstheme="majorBidi"/>
      <w:color w:val="2F5496" w:themeColor="accent1" w:themeShade="BF"/>
      <w:sz w:val="32"/>
      <w:szCs w:val="32"/>
    </w:rPr>
  </w:style>
  <w:style w:type="character" w:customStyle="1" w:styleId="bctt-ctt-text">
    <w:name w:val="bctt-ctt-text"/>
    <w:basedOn w:val="DefaultParagraphFont"/>
    <w:rsid w:val="00393119"/>
  </w:style>
  <w:style w:type="paragraph" w:styleId="EndnoteText">
    <w:name w:val="endnote text"/>
    <w:basedOn w:val="Normal"/>
    <w:link w:val="EndnoteTextChar"/>
    <w:uiPriority w:val="99"/>
    <w:semiHidden/>
    <w:unhideWhenUsed/>
    <w:rsid w:val="003865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652B"/>
    <w:rPr>
      <w:sz w:val="20"/>
      <w:szCs w:val="20"/>
    </w:rPr>
  </w:style>
  <w:style w:type="character" w:styleId="EndnoteReference">
    <w:name w:val="endnote reference"/>
    <w:basedOn w:val="DefaultParagraphFont"/>
    <w:uiPriority w:val="99"/>
    <w:semiHidden/>
    <w:unhideWhenUsed/>
    <w:rsid w:val="003865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240">
      <w:bodyDiv w:val="1"/>
      <w:marLeft w:val="0"/>
      <w:marRight w:val="0"/>
      <w:marTop w:val="0"/>
      <w:marBottom w:val="0"/>
      <w:divBdr>
        <w:top w:val="none" w:sz="0" w:space="0" w:color="auto"/>
        <w:left w:val="none" w:sz="0" w:space="0" w:color="auto"/>
        <w:bottom w:val="none" w:sz="0" w:space="0" w:color="auto"/>
        <w:right w:val="none" w:sz="0" w:space="0" w:color="auto"/>
      </w:divBdr>
    </w:div>
    <w:div w:id="16734459">
      <w:bodyDiv w:val="1"/>
      <w:marLeft w:val="0"/>
      <w:marRight w:val="0"/>
      <w:marTop w:val="0"/>
      <w:marBottom w:val="0"/>
      <w:divBdr>
        <w:top w:val="none" w:sz="0" w:space="0" w:color="auto"/>
        <w:left w:val="none" w:sz="0" w:space="0" w:color="auto"/>
        <w:bottom w:val="none" w:sz="0" w:space="0" w:color="auto"/>
        <w:right w:val="none" w:sz="0" w:space="0" w:color="auto"/>
      </w:divBdr>
    </w:div>
    <w:div w:id="67195232">
      <w:bodyDiv w:val="1"/>
      <w:marLeft w:val="0"/>
      <w:marRight w:val="0"/>
      <w:marTop w:val="0"/>
      <w:marBottom w:val="0"/>
      <w:divBdr>
        <w:top w:val="none" w:sz="0" w:space="0" w:color="auto"/>
        <w:left w:val="none" w:sz="0" w:space="0" w:color="auto"/>
        <w:bottom w:val="none" w:sz="0" w:space="0" w:color="auto"/>
        <w:right w:val="none" w:sz="0" w:space="0" w:color="auto"/>
      </w:divBdr>
    </w:div>
    <w:div w:id="139231021">
      <w:bodyDiv w:val="1"/>
      <w:marLeft w:val="0"/>
      <w:marRight w:val="0"/>
      <w:marTop w:val="0"/>
      <w:marBottom w:val="0"/>
      <w:divBdr>
        <w:top w:val="none" w:sz="0" w:space="0" w:color="auto"/>
        <w:left w:val="none" w:sz="0" w:space="0" w:color="auto"/>
        <w:bottom w:val="none" w:sz="0" w:space="0" w:color="auto"/>
        <w:right w:val="none" w:sz="0" w:space="0" w:color="auto"/>
      </w:divBdr>
    </w:div>
    <w:div w:id="197402096">
      <w:bodyDiv w:val="1"/>
      <w:marLeft w:val="0"/>
      <w:marRight w:val="0"/>
      <w:marTop w:val="0"/>
      <w:marBottom w:val="0"/>
      <w:divBdr>
        <w:top w:val="none" w:sz="0" w:space="0" w:color="auto"/>
        <w:left w:val="none" w:sz="0" w:space="0" w:color="auto"/>
        <w:bottom w:val="none" w:sz="0" w:space="0" w:color="auto"/>
        <w:right w:val="none" w:sz="0" w:space="0" w:color="auto"/>
      </w:divBdr>
    </w:div>
    <w:div w:id="932515110">
      <w:bodyDiv w:val="1"/>
      <w:marLeft w:val="0"/>
      <w:marRight w:val="0"/>
      <w:marTop w:val="0"/>
      <w:marBottom w:val="0"/>
      <w:divBdr>
        <w:top w:val="none" w:sz="0" w:space="0" w:color="auto"/>
        <w:left w:val="none" w:sz="0" w:space="0" w:color="auto"/>
        <w:bottom w:val="none" w:sz="0" w:space="0" w:color="auto"/>
        <w:right w:val="none" w:sz="0" w:space="0" w:color="auto"/>
      </w:divBdr>
    </w:div>
    <w:div w:id="1023048190">
      <w:bodyDiv w:val="1"/>
      <w:marLeft w:val="0"/>
      <w:marRight w:val="0"/>
      <w:marTop w:val="0"/>
      <w:marBottom w:val="0"/>
      <w:divBdr>
        <w:top w:val="none" w:sz="0" w:space="0" w:color="auto"/>
        <w:left w:val="none" w:sz="0" w:space="0" w:color="auto"/>
        <w:bottom w:val="none" w:sz="0" w:space="0" w:color="auto"/>
        <w:right w:val="none" w:sz="0" w:space="0" w:color="auto"/>
      </w:divBdr>
    </w:div>
    <w:div w:id="1153254836">
      <w:bodyDiv w:val="1"/>
      <w:marLeft w:val="0"/>
      <w:marRight w:val="0"/>
      <w:marTop w:val="0"/>
      <w:marBottom w:val="0"/>
      <w:divBdr>
        <w:top w:val="none" w:sz="0" w:space="0" w:color="auto"/>
        <w:left w:val="none" w:sz="0" w:space="0" w:color="auto"/>
        <w:bottom w:val="none" w:sz="0" w:space="0" w:color="auto"/>
        <w:right w:val="none" w:sz="0" w:space="0" w:color="auto"/>
      </w:divBdr>
    </w:div>
    <w:div w:id="1358315449">
      <w:bodyDiv w:val="1"/>
      <w:marLeft w:val="0"/>
      <w:marRight w:val="0"/>
      <w:marTop w:val="0"/>
      <w:marBottom w:val="0"/>
      <w:divBdr>
        <w:top w:val="none" w:sz="0" w:space="0" w:color="auto"/>
        <w:left w:val="none" w:sz="0" w:space="0" w:color="auto"/>
        <w:bottom w:val="none" w:sz="0" w:space="0" w:color="auto"/>
        <w:right w:val="none" w:sz="0" w:space="0" w:color="auto"/>
      </w:divBdr>
    </w:div>
    <w:div w:id="1500198196">
      <w:bodyDiv w:val="1"/>
      <w:marLeft w:val="0"/>
      <w:marRight w:val="0"/>
      <w:marTop w:val="0"/>
      <w:marBottom w:val="0"/>
      <w:divBdr>
        <w:top w:val="none" w:sz="0" w:space="0" w:color="auto"/>
        <w:left w:val="none" w:sz="0" w:space="0" w:color="auto"/>
        <w:bottom w:val="none" w:sz="0" w:space="0" w:color="auto"/>
        <w:right w:val="none" w:sz="0" w:space="0" w:color="auto"/>
      </w:divBdr>
    </w:div>
    <w:div w:id="1550605167">
      <w:bodyDiv w:val="1"/>
      <w:marLeft w:val="0"/>
      <w:marRight w:val="0"/>
      <w:marTop w:val="0"/>
      <w:marBottom w:val="0"/>
      <w:divBdr>
        <w:top w:val="none" w:sz="0" w:space="0" w:color="auto"/>
        <w:left w:val="none" w:sz="0" w:space="0" w:color="auto"/>
        <w:bottom w:val="none" w:sz="0" w:space="0" w:color="auto"/>
        <w:right w:val="none" w:sz="0" w:space="0" w:color="auto"/>
      </w:divBdr>
    </w:div>
    <w:div w:id="1984193141">
      <w:bodyDiv w:val="1"/>
      <w:marLeft w:val="0"/>
      <w:marRight w:val="0"/>
      <w:marTop w:val="0"/>
      <w:marBottom w:val="0"/>
      <w:divBdr>
        <w:top w:val="none" w:sz="0" w:space="0" w:color="auto"/>
        <w:left w:val="none" w:sz="0" w:space="0" w:color="auto"/>
        <w:bottom w:val="none" w:sz="0" w:space="0" w:color="auto"/>
        <w:right w:val="none" w:sz="0" w:space="0" w:color="auto"/>
      </w:divBdr>
      <w:divsChild>
        <w:div w:id="1599602944">
          <w:blockQuote w:val="1"/>
          <w:marLeft w:val="0"/>
          <w:marRight w:val="0"/>
          <w:marTop w:val="300"/>
          <w:marBottom w:val="600"/>
          <w:divBdr>
            <w:top w:val="none" w:sz="0" w:space="0" w:color="auto"/>
            <w:left w:val="single" w:sz="36" w:space="17" w:color="F89D19"/>
            <w:bottom w:val="none" w:sz="0" w:space="0" w:color="auto"/>
            <w:right w:val="none" w:sz="0" w:space="0" w:color="auto"/>
          </w:divBdr>
        </w:div>
      </w:divsChild>
    </w:div>
    <w:div w:id="206694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mpaignforeducation.org/docs/resources/Compact%20on%20Domestic%20Financing%20of%20Education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paignforeducation.org/docs/resources/Compact%20on%20Domestic%20Financing%20of%20Education_E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lenishment.globalpartnership.org/en/case-for-invest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plenishment.globalpartnership.org/en/case-for-investme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globalpartnership.org/content/2016-results-report" TargetMode="External"/><Relationship Id="rId2" Type="http://schemas.openxmlformats.org/officeDocument/2006/relationships/hyperlink" Target="https://replenishment.globalpartnership.org/en/case-for-investment/" TargetMode="External"/><Relationship Id="rId1" Type="http://schemas.openxmlformats.org/officeDocument/2006/relationships/hyperlink" Target="https://replenishment.globalpartnership.org/en/case-for-investment/" TargetMode="External"/><Relationship Id="rId5" Type="http://schemas.openxmlformats.org/officeDocument/2006/relationships/hyperlink" Target="http://www.campaignforeducation.org/docs/resources/Education_Financing_Campaign_2017_CTA_EN.pdf" TargetMode="External"/><Relationship Id="rId4" Type="http://schemas.openxmlformats.org/officeDocument/2006/relationships/hyperlink" Target="http://www.actionaid.org/publications/learning-generation-domestic-tax-and-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7BB61-B425-4214-8F85-FC0107AB7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Walker</dc:creator>
  <cp:keywords/>
  <dc:description/>
  <cp:lastModifiedBy>Sherry Abuel-Ealeh</cp:lastModifiedBy>
  <cp:revision>3</cp:revision>
  <dcterms:created xsi:type="dcterms:W3CDTF">2017-10-29T20:40:00Z</dcterms:created>
  <dcterms:modified xsi:type="dcterms:W3CDTF">2017-10-31T04:23:00Z</dcterms:modified>
</cp:coreProperties>
</file>